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348" w:lineRule="auto"/>
        <w:jc w:val="center"/>
        <w:rPr>
          <w:rFonts w:hint="eastAsia" w:eastAsia="方正小标宋简体"/>
          <w:bCs/>
          <w:sz w:val="42"/>
          <w:szCs w:val="42"/>
        </w:rPr>
      </w:pP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岳阳</w:t>
      </w:r>
      <w:r>
        <w:rPr>
          <w:rFonts w:hint="eastAsia" w:eastAsia="方正小标宋简体"/>
          <w:bCs/>
          <w:sz w:val="46"/>
          <w:szCs w:val="46"/>
          <w:lang w:eastAsia="zh-CN"/>
        </w:rPr>
        <w:t>区</w:t>
      </w:r>
      <w:r>
        <w:rPr>
          <w:rFonts w:hint="eastAsia" w:eastAsia="方正小标宋简体"/>
          <w:bCs/>
          <w:sz w:val="46"/>
          <w:szCs w:val="46"/>
        </w:rPr>
        <w:t>2</w:t>
      </w:r>
      <w:r>
        <w:rPr>
          <w:rFonts w:hint="eastAsia" w:eastAsia="方正小标宋简体"/>
          <w:bCs/>
          <w:sz w:val="46"/>
          <w:szCs w:val="46"/>
          <w:lang w:val="en-US" w:eastAsia="zh-CN"/>
        </w:rPr>
        <w:t>018</w:t>
      </w:r>
      <w:r>
        <w:rPr>
          <w:rFonts w:hint="eastAsia" w:eastAsia="方正小标宋简体"/>
          <w:bCs/>
          <w:sz w:val="46"/>
          <w:szCs w:val="46"/>
        </w:rPr>
        <w:t>年度部门（单位）整体支出</w:t>
      </w:r>
    </w:p>
    <w:p>
      <w:pPr>
        <w:spacing w:line="800" w:lineRule="exact"/>
        <w:jc w:val="center"/>
        <w:rPr>
          <w:rFonts w:hint="eastAsia" w:eastAsia="方正小标宋简体"/>
          <w:bCs/>
          <w:sz w:val="46"/>
          <w:szCs w:val="46"/>
        </w:rPr>
      </w:pPr>
      <w:r>
        <w:rPr>
          <w:rFonts w:hint="eastAsia" w:eastAsia="方正小标宋简体"/>
          <w:bCs/>
          <w:sz w:val="46"/>
          <w:szCs w:val="46"/>
        </w:rPr>
        <w:t>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  <w:u w:val="single"/>
        </w:rPr>
      </w:pPr>
      <w:r>
        <w:rPr>
          <w:rFonts w:hint="eastAsia" w:eastAsia="仿宋_GB2312"/>
          <w:sz w:val="32"/>
          <w:szCs w:val="32"/>
        </w:rPr>
        <w:t>部门(单位)名称：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>岳阳市君山区住房和城乡建设局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pacing w:val="2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预</w:t>
      </w:r>
      <w:r>
        <w:rPr>
          <w:rFonts w:hint="eastAsia" w:eastAsia="仿宋_GB2312"/>
          <w:spacing w:val="30"/>
          <w:sz w:val="32"/>
          <w:szCs w:val="32"/>
        </w:rPr>
        <w:t xml:space="preserve"> 算 编 码：</w:t>
      </w:r>
      <w:r>
        <w:rPr>
          <w:rFonts w:hint="eastAsia" w:eastAsia="仿宋_GB2312"/>
          <w:spacing w:val="20"/>
          <w:sz w:val="32"/>
          <w:szCs w:val="32"/>
          <w:u w:val="single"/>
        </w:rPr>
        <w:t xml:space="preserve">                            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评价方式：部门（单位）绩效自评</w:t>
      </w:r>
    </w:p>
    <w:p>
      <w:pPr>
        <w:spacing w:before="301" w:beforeLines="50" w:line="348" w:lineRule="auto"/>
        <w:ind w:firstLine="476" w:firstLineChars="15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评价机构：部门（单位）评价组   </w:t>
      </w: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ind w:firstLine="2188" w:firstLineChars="690"/>
        <w:rPr>
          <w:rFonts w:hint="eastAsia" w:eastAsia="仿宋_GB2312"/>
          <w:sz w:val="32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2019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7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29</w:t>
      </w:r>
      <w:r>
        <w:rPr>
          <w:rFonts w:hint="eastAsia" w:eastAsia="仿宋_GB2312"/>
          <w:sz w:val="32"/>
        </w:rPr>
        <w:t>日</w:t>
      </w:r>
    </w:p>
    <w:p>
      <w:pPr>
        <w:autoSpaceDN w:val="0"/>
        <w:jc w:val="center"/>
        <w:textAlignment w:val="center"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eastAsia="仿宋_GB2312"/>
          <w:sz w:val="32"/>
        </w:rPr>
        <w:t>岳阳</w:t>
      </w:r>
      <w:r>
        <w:rPr>
          <w:rFonts w:hint="eastAsia" w:eastAsia="仿宋_GB2312"/>
          <w:sz w:val="32"/>
          <w:lang w:eastAsia="zh-CN"/>
        </w:rPr>
        <w:t>区</w:t>
      </w:r>
      <w:r>
        <w:rPr>
          <w:rFonts w:hint="eastAsia" w:eastAsia="仿宋_GB2312"/>
          <w:sz w:val="32"/>
        </w:rPr>
        <w:t>财政</w:t>
      </w:r>
      <w:r>
        <w:rPr>
          <w:rFonts w:hint="eastAsia" w:eastAsia="仿宋_GB2312"/>
          <w:sz w:val="32"/>
          <w:szCs w:val="32"/>
        </w:rPr>
        <w:t>局（制）</w:t>
      </w:r>
    </w:p>
    <w:tbl>
      <w:tblPr>
        <w:tblStyle w:val="3"/>
        <w:tblW w:w="98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181"/>
        <w:gridCol w:w="945"/>
        <w:gridCol w:w="210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联系人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曹慧君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联络电话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13575003205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人员编制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102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实有人数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86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职能职责概述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1、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负责牵头推进新型城市化战略的工作。贯彻执行推进新型城市化、城市建设、住房保障、工程建设、建筑业、住宅房地产业、勘察设计业、等行业的法律法规和政策，拟订行业相关的发展战略、中长期规划及年度计划并组织实施，负责行业的监督管理。组织协调城市公用事业、建筑业、建筑市场、房地产业和园林绿化等方面的行政执法；对全区建设监理进行监督管理。</w:t>
            </w:r>
          </w:p>
          <w:p>
            <w:pPr>
              <w:numPr>
                <w:ilvl w:val="0"/>
                <w:numId w:val="0"/>
              </w:num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2、负责建筑市场的行业管理。指导和管理建筑市场；负责全区建设工程的监理、招标投标、工程质量、施工安全和工程的竣工验收管理以及标准定额、工程造价管理工作。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3、负责城区道路的建设管理。会同有关部门对城市道路占用进行审批管理；负责城区建筑物、道路、沿街标志、灯光容貌的管理工作。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4、负责制订、实施城区绿化美化计划；负责城区园林绿化的建设和管理。负责城区环境卫生及环境卫生设施建设及维护，及全区垃圾归口集中无害化综合处理。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5、负责城区的排水、污水处理工作。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6、负责全区城建建设管理工作及城建监察管理工作。协同有关部门依法直接查处很重大建设违法违规案件。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7、组织实施具体保障工作，负责对保障性住房实施维护、修缮和管理。</w:t>
            </w:r>
          </w:p>
          <w:p>
            <w:pPr>
              <w:numPr>
                <w:ilvl w:val="0"/>
                <w:numId w:val="0"/>
              </w:numPr>
              <w:ind w:firstLine="48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8、承办区政府和主管业务部门交办的其它事项。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5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年度主要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工作内容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任务1：确保住建系统的正常运行，维护系统稳定；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任务2：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统筹区域重大产业、基础设施、民生事业等项目布局，推进我局负责的重点项目建设。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任务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：保障住建系统正常运行指标达到96%，让社会公众和服务对象满意度达到95%。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6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6"/>
                <w:sz w:val="24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加大城区繁荣，进一步壮大城区骨架，改善人居环境，提升城市品位，营造秀美和谐的招商引资环境。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7" w:hRule="atLeast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机构名称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835" w:type="dxa"/>
            <w:gridSpan w:val="3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上年结转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政拨款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政府基金拨款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纳入专户管理的非税收入拨款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含7个二级机构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支出合计</w:t>
            </w:r>
          </w:p>
        </w:tc>
        <w:tc>
          <w:tcPr>
            <w:tcW w:w="56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人员支出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601.97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374.52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227.45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含7个二级机构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801.97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601.97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374.52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227.45</w:t>
            </w:r>
          </w:p>
        </w:tc>
        <w:tc>
          <w:tcPr>
            <w:tcW w:w="1080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200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7020" w:type="dxa"/>
            <w:gridSpan w:val="13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公务接待费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公务用车运维费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公务用车购置费</w:t>
            </w: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11.74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10.59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含7个二级机构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22.33</w:t>
            </w:r>
          </w:p>
        </w:tc>
        <w:tc>
          <w:tcPr>
            <w:tcW w:w="135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11.74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10.59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25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机构名称</w:t>
            </w: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合计</w:t>
            </w:r>
          </w:p>
        </w:tc>
        <w:tc>
          <w:tcPr>
            <w:tcW w:w="6079" w:type="dxa"/>
            <w:gridSpan w:val="11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局机关及二级机构汇总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396.42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396.42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835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1、局机关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含7个二级机构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）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396.42</w:t>
            </w:r>
          </w:p>
        </w:tc>
        <w:tc>
          <w:tcPr>
            <w:tcW w:w="243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396.42</w:t>
            </w:r>
          </w:p>
        </w:tc>
        <w:tc>
          <w:tcPr>
            <w:tcW w:w="364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7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预期目标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0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774" w:type="dxa"/>
            <w:gridSpan w:val="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目标1：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文明创卫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快速推进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目标2：建筑市场管理和监管程序进一步完善。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目标3：城市管理日臻完善</w:t>
            </w:r>
          </w:p>
        </w:tc>
        <w:tc>
          <w:tcPr>
            <w:tcW w:w="4585" w:type="dxa"/>
            <w:gridSpan w:val="9"/>
            <w:vAlign w:val="center"/>
          </w:tcPr>
          <w:p>
            <w:pPr>
              <w:ind w:firstLine="660"/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大力优化服务，缩短了办证时间，监督的工程项目未发生重大的安全事故。招投标职能进一步规范。完善了网上公告、报名、资格预审及工程开标、评标、定标全部进场的各项程序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加大了卫生整治力度和基础设施投入，提高了管理水平，实现网格化、全覆盖、长效化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评价内容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绩效目标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6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（部门工作实绩，包含上级部门和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质量指标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" w:cs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建筑行业运行态势良好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ind w:firstLine="660"/>
              <w:rPr>
                <w:rFonts w:hint="eastAsia" w:ascii="仿宋_GB2312" w:hAnsi="仿宋_GB2312" w:eastAsia="仿宋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大力优化服务，缩短了办证时间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监督的工程项目未发生重大的安全事故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招投标职能进一步规范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完善了网上公告、报名、资格预审及工程开标、评标、定标全部进场的各项程序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660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kern w:val="0"/>
                <w:sz w:val="24"/>
                <w:szCs w:val="24"/>
              </w:rPr>
              <w:t>城市管理日臻完善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加大了卫生整治力度和基础设施投入，提高了管理水平，实现网格化、全覆盖、长效化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数量指标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建筑市场管理和监管程序进一步完善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今年共办理施工许可证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项，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总规模共计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505551.52㎡，造价共计87456.04元。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完成公开招投标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9个，中标金额约1.9亿元，完成建筑业企业资质新申报1家，建筑业企业申报增项资质5项，组织建筑业关键岗位人员进行安全知识培训1次。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安全生产监督环节进一步抓实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eastAsia="zh-CN"/>
              </w:rPr>
              <w:t>君山区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共用在建项目18个，办理监督注册项目17个，办理提前监督介入项目1个，共办理报建项目16个，办理竣工备案项目7个，对在建项目日常巡查102次，下达停工整改29份，限期整改28份，扬尘专项整改8份，约谈责任主体单位3家，对存在重大安全隐患的项目下达一单四制5份，对施工企业下达黄牌警告1份，不良行为告知书4份（其中对建设单位下达1份，施工单位下达2份，监理单位下达1份）项目经理扣分告知书1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时效指标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成本指标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Merge w:val="continue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56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restart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（预期实现的效益）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进一步改善了城市人居环境，提升了城市形象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ind w:firstLine="660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中心城区建设区面积达20平方公里，管理面积达9平方公里，城市清扫保洁面积96万㎡，城区绿化覆盖率48.76%，建成区绿地率44.5%，垃圾处理率100%，污水处理率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95.1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%。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经济效益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指标1：加大城区繁荣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进一步壮大城区骨架，改善人居环境，提升城市品位，营造秀美和谐的招商引资环境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生态效益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……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9" w:type="dxa"/>
            <w:gridSpan w:val="4"/>
            <w:vMerge w:val="continue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社会公众或服务对象满意度</w:t>
            </w:r>
          </w:p>
        </w:tc>
        <w:tc>
          <w:tcPr>
            <w:tcW w:w="2709" w:type="dxa"/>
            <w:gridSpan w:val="4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社会公众满意度</w:t>
            </w:r>
            <w:r>
              <w:rPr>
                <w:rFonts w:ascii="宋体" w:hAnsi="宋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ascii="宋体" w:hAnsi="宋体"/>
                <w:bCs/>
                <w:sz w:val="24"/>
              </w:rPr>
              <w:t>95%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指标2：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服务对象满意度</w:t>
            </w:r>
            <w:r>
              <w:rPr>
                <w:rFonts w:ascii="宋体" w:hAnsi="宋体" w:cs="仿宋_GB2312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≥</w:t>
            </w:r>
            <w:r>
              <w:rPr>
                <w:rFonts w:ascii="宋体" w:hAnsi="宋体" w:cs="仿宋_GB2312"/>
                <w:color w:val="000000"/>
                <w:sz w:val="24"/>
              </w:rPr>
              <w:t>90%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宋体" w:cs="仿宋_GB2312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sz w:val="24"/>
              </w:rPr>
              <w:t>社会公众满意度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96</w:t>
            </w:r>
            <w:r>
              <w:rPr>
                <w:rFonts w:ascii="宋体" w:hAnsi="宋体" w:cs="仿宋_GB2312"/>
                <w:color w:val="000000"/>
                <w:sz w:val="24"/>
              </w:rPr>
              <w:t>%</w:t>
            </w:r>
            <w:r>
              <w:rPr>
                <w:rFonts w:hint="eastAsia" w:ascii="宋体" w:hAnsi="宋体" w:cs="仿宋_GB2312"/>
                <w:color w:val="00000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仿宋_GB2312"/>
                <w:color w:val="000000"/>
                <w:sz w:val="24"/>
              </w:rPr>
              <w:t>服务对象满意度</w:t>
            </w:r>
            <w:r>
              <w:rPr>
                <w:rFonts w:hint="eastAsia" w:ascii="宋体" w:hAnsi="宋体" w:cs="仿宋_GB2312"/>
                <w:color w:val="000000"/>
                <w:sz w:val="24"/>
                <w:lang w:val="en-US" w:eastAsia="zh-CN"/>
              </w:rPr>
              <w:t>98</w:t>
            </w:r>
            <w:r>
              <w:rPr>
                <w:rFonts w:ascii="宋体" w:hAnsi="宋体" w:cs="仿宋_GB2312"/>
                <w:color w:val="000000"/>
                <w:sz w:val="24"/>
              </w:rPr>
              <w:t>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绩效自评综合得分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评价等次</w:t>
            </w:r>
          </w:p>
        </w:tc>
        <w:tc>
          <w:tcPr>
            <w:tcW w:w="6810" w:type="dxa"/>
            <w:gridSpan w:val="1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职务/职称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单  位</w:t>
            </w: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袁定军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副局长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何运斌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城建办主任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陈建文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质安站主任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徐炎辉</w:t>
            </w:r>
          </w:p>
        </w:tc>
        <w:tc>
          <w:tcPr>
            <w:tcW w:w="3561" w:type="dxa"/>
            <w:gridSpan w:val="6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造价办主任</w:t>
            </w:r>
          </w:p>
        </w:tc>
        <w:tc>
          <w:tcPr>
            <w:tcW w:w="1479" w:type="dxa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106" w:type="dxa"/>
            <w:gridSpan w:val="8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             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vAlign w:val="center"/>
          </w:tcPr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   年 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</w:t>
      </w:r>
      <w:r>
        <w:rPr>
          <w:rFonts w:hint="eastAsia" w:eastAsia="仿宋_GB2312" w:cs="仿宋_GB2312"/>
          <w:bCs/>
          <w:sz w:val="28"/>
          <w:szCs w:val="28"/>
          <w:lang w:eastAsia="zh-CN"/>
        </w:rPr>
        <w:t>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李颖伦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 联系电</w:t>
      </w:r>
      <w:bookmarkStart w:id="0" w:name="_GoBack"/>
      <w:bookmarkEnd w:id="0"/>
      <w:r>
        <w:rPr>
          <w:rFonts w:hint="eastAsia" w:eastAsia="仿宋_GB2312" w:cs="仿宋_GB2312"/>
          <w:bCs/>
          <w:sz w:val="28"/>
          <w:szCs w:val="28"/>
        </w:rPr>
        <w:t>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17773050122</w:t>
      </w:r>
    </w:p>
    <w:tbl>
      <w:tblPr>
        <w:tblStyle w:val="3"/>
        <w:tblW w:w="95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（一）部门（单位）基本情况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（二）部门（单位）整体支出规模、使用方向和主要内容、涉及范围等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（二）专项支出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1、专项资金安排落实、总投入等情况分析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2、专项资金实际使用情况分析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3、专项资金管理情况分析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（一）专项组织情况分析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（二）专项管理情况分析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五、存在的主要问题</w:t>
            </w:r>
          </w:p>
          <w:p>
            <w:pPr>
              <w:spacing w:line="560" w:lineRule="exact"/>
              <w:ind w:firstLine="560" w:firstLineChars="200"/>
              <w:rPr>
                <w:rFonts w:hint="eastAsia" w:ascii="黑体" w:hAnsi="黑体" w:eastAsia="黑体" w:cs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六、改进措施和有关建议</w:t>
            </w:r>
          </w:p>
          <w:p>
            <w:pPr>
              <w:rPr>
                <w:rFonts w:eastAsia="楷体_GB2312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sz w:val="24"/>
        <w:szCs w:val="24"/>
      </w:rPr>
    </w:pPr>
    <w:r>
      <w:rPr>
        <w:rStyle w:val="5"/>
        <w:rFonts w:hint="eastAsia"/>
        <w:sz w:val="24"/>
        <w:szCs w:val="24"/>
        <w:lang w:eastAsia="zh-CN"/>
      </w:rPr>
      <w:t xml:space="preserve">— </w:t>
    </w:r>
    <w:r>
      <w:rPr>
        <w:sz w:val="24"/>
        <w:szCs w:val="24"/>
      </w:rPr>
      <w:fldChar w:fldCharType="begin"/>
    </w:r>
    <w:r>
      <w:rPr>
        <w:rStyle w:val="5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5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5"/>
        <w:rFonts w:hint="eastAsia"/>
        <w:sz w:val="24"/>
        <w:szCs w:val="24"/>
        <w:lang w:eastAsia="zh-CN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146B58"/>
    <w:rsid w:val="0D79034D"/>
    <w:rsid w:val="16E4355A"/>
    <w:rsid w:val="246330C4"/>
    <w:rsid w:val="42483562"/>
    <w:rsid w:val="4B1D42A1"/>
    <w:rsid w:val="58146B58"/>
    <w:rsid w:val="58AF1FA1"/>
    <w:rsid w:val="6D535020"/>
    <w:rsid w:val="79D50250"/>
    <w:rsid w:val="7E58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2018-05-23T03:19:00Z</dcterms:created>
  <dc:creator>Administrator</dc:creator>
  <cp:lastModifiedBy>Dell</cp:lastModifiedBy>
  <dcterms:modified xsi:type="dcterms:W3CDTF">2019-08-06T00:49:23Z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