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u w:val="single"/>
          <w:lang w:val="en-US" w:eastAsia="zh-CN"/>
        </w:rPr>
        <w:t>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634" w:firstLineChars="20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lang w:eastAsia="zh-CN"/>
        </w:rPr>
        <w:t>：</w:t>
      </w:r>
      <w:r>
        <w:rPr>
          <w:rFonts w:hint="eastAsia" w:eastAsia="仿宋_GB2312"/>
          <w:sz w:val="32"/>
          <w:szCs w:val="32"/>
          <w:u w:val="single"/>
          <w:lang w:val="en-US" w:eastAsia="zh-CN"/>
        </w:rPr>
        <w:t>岳阳市</w:t>
      </w:r>
      <w:r>
        <w:rPr>
          <w:rFonts w:hint="eastAsia" w:eastAsia="仿宋_GB2312"/>
          <w:sz w:val="32"/>
          <w:szCs w:val="32"/>
          <w:u w:val="single"/>
        </w:rPr>
        <w:t xml:space="preserve">君山区社会治理网格化服务中心  </w:t>
      </w:r>
      <w:r>
        <w:rPr>
          <w:rFonts w:hint="eastAsia" w:eastAsia="仿宋_GB2312"/>
          <w:sz w:val="32"/>
          <w:szCs w:val="32"/>
        </w:rPr>
        <w:t xml:space="preserve">        </w:t>
      </w:r>
      <w:r>
        <w:rPr>
          <w:rFonts w:hint="eastAsia" w:eastAsia="仿宋_GB2312"/>
          <w:sz w:val="28"/>
          <w:szCs w:val="28"/>
          <w:u w:val="single"/>
        </w:rPr>
        <w:t xml:space="preserve">          </w:t>
      </w:r>
      <w:r>
        <w:rPr>
          <w:rFonts w:hint="eastAsia" w:eastAsia="仿宋_GB2312"/>
          <w:sz w:val="32"/>
          <w:szCs w:val="32"/>
          <w:u w:val="single"/>
        </w:rPr>
        <w:t xml:space="preserve">           </w:t>
      </w:r>
    </w:p>
    <w:p>
      <w:pPr>
        <w:spacing w:before="301" w:beforeLines="50" w:line="348" w:lineRule="auto"/>
        <w:ind w:firstLine="634" w:firstLineChars="20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lang w:val="en-US" w:eastAsia="zh-CN"/>
        </w:rPr>
        <w:t>143</w:t>
      </w:r>
      <w:r>
        <w:rPr>
          <w:rFonts w:hint="eastAsia" w:eastAsia="仿宋_GB2312"/>
          <w:spacing w:val="20"/>
          <w:sz w:val="32"/>
          <w:szCs w:val="32"/>
          <w:u w:val="single"/>
        </w:rPr>
        <w:t xml:space="preserve">                           </w:t>
      </w:r>
    </w:p>
    <w:p>
      <w:pPr>
        <w:spacing w:before="301" w:beforeLines="50" w:line="348" w:lineRule="auto"/>
        <w:ind w:firstLine="634" w:firstLineChars="20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634" w:firstLineChars="20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07</w:t>
      </w:r>
      <w:r>
        <w:rPr>
          <w:rFonts w:hint="eastAsia" w:eastAsia="仿宋_GB2312"/>
          <w:sz w:val="32"/>
        </w:rPr>
        <w:t>月</w:t>
      </w:r>
      <w:r>
        <w:rPr>
          <w:rFonts w:hint="eastAsia" w:eastAsia="仿宋_GB2312"/>
          <w:sz w:val="32"/>
          <w:lang w:val="en-US" w:eastAsia="zh-CN"/>
        </w:rPr>
        <w:t>01</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1003"/>
        <w:gridCol w:w="1510"/>
        <w:gridCol w:w="35"/>
        <w:gridCol w:w="150"/>
        <w:gridCol w:w="11"/>
        <w:gridCol w:w="1084"/>
        <w:gridCol w:w="520"/>
        <w:gridCol w:w="139"/>
        <w:gridCol w:w="121"/>
        <w:gridCol w:w="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5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宋体" w:hAnsi="宋体" w:eastAsia="仿宋_GB2312" w:cs="仿宋_GB2312"/>
                <w:sz w:val="24"/>
                <w:lang w:val="en-US" w:eastAsia="zh-CN"/>
              </w:rPr>
              <w:t>秦思云</w:t>
            </w:r>
          </w:p>
        </w:tc>
        <w:tc>
          <w:tcPr>
            <w:tcW w:w="15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845"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宋体" w:hAnsi="宋体" w:eastAsia="仿宋_GB2312" w:cs="仿宋_GB2312"/>
                <w:sz w:val="24"/>
                <w:lang w:val="en-US" w:eastAsia="zh-CN"/>
              </w:rPr>
              <w:t>18373083025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5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宋体" w:hAnsi="宋体" w:eastAsia="仿宋_GB2312" w:cs="仿宋_GB2312"/>
                <w:sz w:val="24"/>
                <w:lang w:val="en-US" w:eastAsia="zh-CN"/>
              </w:rPr>
              <w:t>5</w:t>
            </w:r>
          </w:p>
        </w:tc>
        <w:tc>
          <w:tcPr>
            <w:tcW w:w="15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845"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宋体" w:hAnsi="宋体" w:eastAsia="仿宋_GB2312" w:cs="仿宋_GB2312"/>
                <w:sz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（一)贯彻落实中央、省、市关于创新社会治理的方针政策和法律法规；拟定全区社会治理和服务创新工作规划、计划，并组织实施。</w:t>
            </w:r>
          </w:p>
          <w:p>
            <w:pPr>
              <w:autoSpaceDN w:val="0"/>
              <w:spacing w:line="320" w:lineRule="exac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（二）研究分析全区社会治理工作形势，创新社会治理方式，拟定全区创新社会治理的发展战略、发展规划，全面推进公共服务、网格管理、居民自治和综治信息化建设。</w:t>
            </w:r>
          </w:p>
          <w:p>
            <w:pPr>
              <w:autoSpaceDN w:val="0"/>
              <w:spacing w:line="320" w:lineRule="exac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（三）依托综治信息系统，逐步建立完善统一的服务管理平台，对全区居民有关社会治安、矛盾纠纷、社会服务等方面的求助、投诉联动受理、处理、督办、反馈。</w:t>
            </w:r>
          </w:p>
          <w:p>
            <w:pPr>
              <w:autoSpaceDN w:val="0"/>
              <w:spacing w:line="320" w:lineRule="exac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（四）负责综治中心信息化系统的管理和维护，会同有关部门整合信息资源，对接部门数据和平台，推进君山区综治中心信息平台与各部门间信息互通共享。</w:t>
            </w:r>
          </w:p>
          <w:p>
            <w:pPr>
              <w:autoSpaceDN w:val="0"/>
              <w:spacing w:line="320" w:lineRule="exac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（五）会同有关部门推进网上办理公共服务事项，深化“一站式”服务模式。</w:t>
            </w:r>
          </w:p>
          <w:p>
            <w:pPr>
              <w:autoSpaceDN w:val="0"/>
              <w:spacing w:line="320" w:lineRule="exac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（六）负责建立、完善考核机制，对镇（街道）场、相关区直部门开展社区治理和服务创新工作进行考核。</w:t>
            </w:r>
          </w:p>
          <w:p>
            <w:pPr>
              <w:autoSpaceDN w:val="0"/>
              <w:spacing w:line="320" w:lineRule="exac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（七）组织领导全区网格化服务管理工作，制定网格员主要职责和工作要求标准，指导镇（街道）场、村（社区）抓好网格员日常管理，对下达给网格员的任务指令进行督办、考核。</w:t>
            </w:r>
          </w:p>
          <w:p>
            <w:pPr>
              <w:autoSpaceDN w:val="0"/>
              <w:spacing w:line="320" w:lineRule="exac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（八）牵头组织或会同镇（街道）场和协调相关区直部门对网格员、驻村（社区）辅警开展业务培训和思想教育。</w:t>
            </w:r>
          </w:p>
          <w:p>
            <w:pPr>
              <w:autoSpaceDN w:val="0"/>
              <w:spacing w:line="320" w:lineRule="exac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（九）完成区委、区政府交办的其他事项。</w:t>
            </w:r>
          </w:p>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任务1：完善网格化信息补录更新。</w:t>
            </w:r>
          </w:p>
          <w:p>
            <w:pPr>
              <w:autoSpaceDN w:val="0"/>
              <w:spacing w:line="320" w:lineRule="exac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任务2：加强业务培训学习交流。     </w:t>
            </w:r>
          </w:p>
          <w:p>
            <w:pPr>
              <w:autoSpaceDN w:val="0"/>
              <w:spacing w:line="320" w:lineRule="exac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任务3：建章立制加强管理。     </w:t>
            </w:r>
          </w:p>
          <w:p>
            <w:pPr>
              <w:autoSpaceDN w:val="0"/>
              <w:spacing w:line="320" w:lineRule="exac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任务4：加强部门联动，实现信息资源共享。</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ind w:firstLine="480" w:firstLineChars="200"/>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财政预算收入111.97万元，其中基本支出111.16万元，项目支出0万元，结余0.81万元。自从平台建立以来，我中心立足君山发展实际，坚持为民解忧、为民服务的原则，利用网格化系统数据量大、覆盖面广、方便快捷的优势，在疫情防控、抗洪抢险、信息查询、子女就学、解决居民诉求、协调和处理矛盾纠纷、宣传党的政策、排查网格内的安全隐患、促进和谐等工作做出了积极作用，使政府各项工作能够全面、细腻的渗透到每一个群众中去，从而提升政府办事效率，提升治理水平和能力，不断增强人民群众幸福感、安全感。</w:t>
            </w:r>
          </w:p>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126" w:type="dxa"/>
            <w:gridSpan w:val="2"/>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654"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26" w:type="dxa"/>
            <w:gridSpan w:val="2"/>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27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51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126"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111.97</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27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111.97</w:t>
            </w:r>
          </w:p>
        </w:tc>
        <w:tc>
          <w:tcPr>
            <w:tcW w:w="1510"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126" w:type="dxa"/>
            <w:gridSpan w:val="2"/>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111.97</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127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111.97</w:t>
            </w:r>
          </w:p>
        </w:tc>
        <w:tc>
          <w:tcPr>
            <w:tcW w:w="1510"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126" w:type="dxa"/>
            <w:gridSpan w:val="2"/>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27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510"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126" w:type="dxa"/>
            <w:gridSpan w:val="2"/>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27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510"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420"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600"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970" w:type="dxa"/>
            <w:gridSpan w:val="5"/>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95"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8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20"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7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69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95" w:type="dxa"/>
            <w:gridSpan w:val="2"/>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8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20"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111.16</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111.16</w:t>
            </w:r>
          </w:p>
        </w:tc>
        <w:tc>
          <w:tcPr>
            <w:tcW w:w="127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29.06</w:t>
            </w:r>
          </w:p>
        </w:tc>
        <w:tc>
          <w:tcPr>
            <w:tcW w:w="1695"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82.10</w:t>
            </w:r>
          </w:p>
        </w:tc>
        <w:tc>
          <w:tcPr>
            <w:tcW w:w="109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8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0.81</w:t>
            </w:r>
          </w:p>
        </w:tc>
        <w:tc>
          <w:tcPr>
            <w:tcW w:w="820"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111.16</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111.16</w:t>
            </w:r>
          </w:p>
        </w:tc>
        <w:tc>
          <w:tcPr>
            <w:tcW w:w="127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29.06</w:t>
            </w:r>
          </w:p>
        </w:tc>
        <w:tc>
          <w:tcPr>
            <w:tcW w:w="1695"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82.10</w:t>
            </w:r>
          </w:p>
        </w:tc>
        <w:tc>
          <w:tcPr>
            <w:tcW w:w="109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w:t>
            </w:r>
          </w:p>
        </w:tc>
        <w:tc>
          <w:tcPr>
            <w:tcW w:w="78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0.81</w:t>
            </w:r>
          </w:p>
        </w:tc>
        <w:tc>
          <w:tcPr>
            <w:tcW w:w="820"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7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9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9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8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20"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7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9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9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8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20"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27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69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9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0.69</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0.69</w:t>
            </w:r>
          </w:p>
        </w:tc>
        <w:tc>
          <w:tcPr>
            <w:tcW w:w="127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9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9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0.69</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0.69</w:t>
            </w:r>
          </w:p>
        </w:tc>
        <w:tc>
          <w:tcPr>
            <w:tcW w:w="127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9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9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2"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7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9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9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86"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7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9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9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30"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449"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5.22</w:t>
            </w:r>
          </w:p>
        </w:tc>
        <w:tc>
          <w:tcPr>
            <w:tcW w:w="2630"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5.22</w:t>
            </w:r>
          </w:p>
        </w:tc>
        <w:tc>
          <w:tcPr>
            <w:tcW w:w="3449"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5.22</w:t>
            </w:r>
          </w:p>
        </w:tc>
        <w:tc>
          <w:tcPr>
            <w:tcW w:w="2630" w:type="dxa"/>
            <w:gridSpan w:val="4"/>
            <w:tcBorders>
              <w:left w:val="single" w:color="auto" w:sz="4" w:space="0"/>
            </w:tcBorders>
            <w:vAlign w:val="center"/>
          </w:tcPr>
          <w:p>
            <w:pPr>
              <w:autoSpaceDN w:val="0"/>
              <w:spacing w:line="320" w:lineRule="exact"/>
              <w:jc w:val="center"/>
              <w:textAlignment w:val="center"/>
              <w:rPr>
                <w:rFonts w:hint="eastAsia"/>
                <w:lang w:val="en-US" w:eastAsia="zh-CN"/>
              </w:rPr>
            </w:pPr>
            <w:r>
              <w:rPr>
                <w:rFonts w:hint="eastAsia" w:ascii="仿宋_GB2312" w:hAnsi="仿宋_GB2312" w:eastAsia="仿宋_GB2312" w:cs="仿宋_GB2312"/>
                <w:color w:val="000000"/>
                <w:sz w:val="24"/>
                <w:lang w:val="en-US" w:eastAsia="zh-CN"/>
              </w:rPr>
              <w:t>5.22</w:t>
            </w:r>
          </w:p>
        </w:tc>
        <w:tc>
          <w:tcPr>
            <w:tcW w:w="3449"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30"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449"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30"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449"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969"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390"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7"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969"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w:t>
            </w: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社会治理网格化服务工作情况</w:t>
            </w:r>
          </w:p>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w:t>
            </w: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党建工作情况</w:t>
            </w:r>
          </w:p>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w:t>
            </w: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val="en-US" w:eastAsia="zh-CN"/>
              </w:rPr>
              <w:t>联点帮扶工作情况</w:t>
            </w:r>
          </w:p>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党风廉政建设工作情况</w:t>
            </w:r>
          </w:p>
          <w:p>
            <w:pPr>
              <w:autoSpaceDN w:val="0"/>
              <w:spacing w:line="320" w:lineRule="exact"/>
              <w:jc w:val="both"/>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tc>
        <w:tc>
          <w:tcPr>
            <w:tcW w:w="4390" w:type="dxa"/>
            <w:gridSpan w:val="9"/>
            <w:vAlign w:val="center"/>
          </w:tcPr>
          <w:p>
            <w:pPr>
              <w:numPr>
                <w:ilvl w:val="0"/>
                <w:numId w:val="1"/>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我区网格化服务管理信息系统累计录入楼栋信息42110栋、房屋总数59938套、人口总数172526人、单位总数1209个，社区矫正、社区戒毒人员、信访重点管控对象、精神病肇事肇祸患者、问题青少年等重点特殊人员信息1812人，2020年7月份到12月底，补录、更新、纠错、完善信息5千多条。</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我单位参加联点村（许市镇凉亭村）党员大会两次，讲党课一次，。</w:t>
            </w:r>
          </w:p>
          <w:p>
            <w:pPr>
              <w:numPr>
                <w:ilvl w:val="0"/>
                <w:numId w:val="1"/>
              </w:num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我单位联系许市镇凉亭村，今年以来，参加联点村群众大会、群众代表会两次，。</w:t>
            </w:r>
          </w:p>
          <w:p>
            <w:pPr>
              <w:numPr>
                <w:ilvl w:val="0"/>
                <w:numId w:val="1"/>
              </w:numPr>
              <w:autoSpaceDN w:val="0"/>
              <w:spacing w:line="320" w:lineRule="exact"/>
              <w:jc w:val="left"/>
              <w:textAlignment w:val="center"/>
              <w:rPr>
                <w:rFonts w:hint="eastAsia"/>
                <w:lang w:val="en-US" w:eastAsia="zh-CN"/>
              </w:rPr>
            </w:pPr>
            <w:r>
              <w:rPr>
                <w:rFonts w:hint="eastAsia" w:ascii="仿宋_GB2312" w:hAnsi="仿宋_GB2312" w:eastAsia="仿宋_GB2312" w:cs="仿宋_GB2312"/>
                <w:color w:val="000000"/>
                <w:sz w:val="24"/>
                <w:lang w:val="en-US" w:eastAsia="zh-CN"/>
              </w:rPr>
              <w:t>严格落实“一岗双责”，把党风廉政建设和反腐败工作贯穿到各项工作中去，强化学习教育，夯实廉政基础。</w:t>
            </w:r>
          </w:p>
          <w:p>
            <w:pPr>
              <w:pStyle w:val="4"/>
              <w:widowControl w:val="0"/>
              <w:numPr>
                <w:ilvl w:val="0"/>
                <w:numId w:val="0"/>
              </w:numPr>
              <w:jc w:val="both"/>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vAlign w:val="center"/>
          </w:tcPr>
          <w:p>
            <w:pPr>
              <w:autoSpaceDN w:val="0"/>
              <w:spacing w:line="320" w:lineRule="exact"/>
              <w:jc w:val="center"/>
              <w:textAlignment w:val="center"/>
              <w:rPr>
                <w:rFonts w:hint="eastAsia"/>
              </w:rPr>
            </w:pPr>
            <w:r>
              <w:rPr>
                <w:rFonts w:hint="eastAsia"/>
              </w:rPr>
              <w:t>绩效目标</w:t>
            </w:r>
          </w:p>
        </w:tc>
        <w:tc>
          <w:tcPr>
            <w:tcW w:w="2684" w:type="dxa"/>
            <w:gridSpan w:val="5"/>
            <w:vAlign w:val="center"/>
          </w:tcPr>
          <w:p>
            <w:pPr>
              <w:autoSpaceDN w:val="0"/>
              <w:spacing w:line="320" w:lineRule="exact"/>
              <w:jc w:val="center"/>
              <w:textAlignment w:val="center"/>
              <w:rPr>
                <w:rFonts w:hint="eastAsia"/>
              </w:rPr>
            </w:pPr>
            <w:r>
              <w:rPr>
                <w:rFonts w:hint="eastAsia"/>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5"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委</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指标1：省市系统平台对接</w:t>
            </w:r>
          </w:p>
        </w:tc>
        <w:tc>
          <w:tcPr>
            <w:tcW w:w="2684"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已按照整体工作部署完成了平台对接工作。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部门联动，实现信息资源共享。</w:t>
            </w:r>
          </w:p>
        </w:tc>
        <w:tc>
          <w:tcPr>
            <w:tcW w:w="2684"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分工合作、部门联动，共同推进社会治理与网格化服务。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85"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数量指标</w:t>
            </w: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指标1：完善网格化信息补录更新</w:t>
            </w:r>
          </w:p>
        </w:tc>
        <w:tc>
          <w:tcPr>
            <w:tcW w:w="2684"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2020年7月份到12月底，补录、更新、纠错、完善信息5千多条</w:t>
            </w:r>
            <w:r>
              <w:rPr>
                <w:rFonts w:hint="eastAsia" w:ascii="方正仿宋_GB2312" w:hAnsi="方正仿宋_GB2312" w:eastAsia="方正仿宋_GB2312" w:cs="方正仿宋_GB2312"/>
                <w:sz w:val="32"/>
                <w:szCs w:val="32"/>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50"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指标2：加强业务培训学习交流</w:t>
            </w:r>
          </w:p>
        </w:tc>
        <w:tc>
          <w:tcPr>
            <w:tcW w:w="2684"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进行了学习交流，到5个镇（街道），15个村组开展走访调查。</w:t>
            </w:r>
          </w:p>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0"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指标1：按工作计划实施</w:t>
            </w:r>
          </w:p>
        </w:tc>
        <w:tc>
          <w:tcPr>
            <w:tcW w:w="268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各项工作已按进度实施完毕。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指标2：按年初计划申报省级文明窗口单位、市级文明单位、区级文明单位</w:t>
            </w:r>
          </w:p>
        </w:tc>
        <w:tc>
          <w:tcPr>
            <w:tcW w:w="2684"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2020年12月前已全部完成。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9"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vAlign w:val="center"/>
          </w:tcPr>
          <w:p>
            <w:p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指标1：控制运行成本</w:t>
            </w:r>
          </w:p>
        </w:tc>
        <w:tc>
          <w:tcPr>
            <w:tcW w:w="2684"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指标2：控制非生产性开支</w:t>
            </w:r>
          </w:p>
        </w:tc>
        <w:tc>
          <w:tcPr>
            <w:tcW w:w="2684"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压缩了一般性支出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指标：信息完整、准确</w:t>
            </w:r>
          </w:p>
        </w:tc>
        <w:tc>
          <w:tcPr>
            <w:tcW w:w="2684"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资源、信息共享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0"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指标：利用准确的网格信息，提高效率。</w:t>
            </w:r>
          </w:p>
        </w:tc>
        <w:tc>
          <w:tcPr>
            <w:tcW w:w="2684"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9"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无</w:t>
            </w:r>
          </w:p>
        </w:tc>
        <w:tc>
          <w:tcPr>
            <w:tcW w:w="2684"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60"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w:t>
            </w:r>
            <w:r>
              <w:rPr>
                <w:rFonts w:hint="eastAsia" w:ascii="仿宋_GB2312" w:hAnsi="仿宋_GB2312" w:eastAsia="仿宋_GB2312" w:cs="仿宋_GB2312"/>
                <w:color w:val="000000"/>
                <w:sz w:val="24"/>
              </w:rPr>
              <w:t>人民群众的满意度</w:t>
            </w:r>
            <w:r>
              <w:rPr>
                <w:rFonts w:hint="eastAsia" w:ascii="仿宋_GB2312" w:hAnsi="仿宋_GB2312" w:eastAsia="仿宋_GB2312" w:cs="仿宋_GB2312"/>
                <w:color w:val="000000"/>
                <w:sz w:val="24"/>
                <w:lang w:val="en-US" w:eastAsia="zh-CN"/>
              </w:rPr>
              <w:t>90%以上。</w:t>
            </w:r>
          </w:p>
        </w:tc>
        <w:tc>
          <w:tcPr>
            <w:tcW w:w="2684"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满意度9</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2"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5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5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845"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范小礼</w:t>
            </w:r>
          </w:p>
        </w:tc>
        <w:tc>
          <w:tcPr>
            <w:tcW w:w="375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党组书记、主任</w:t>
            </w:r>
          </w:p>
        </w:tc>
        <w:tc>
          <w:tcPr>
            <w:tcW w:w="15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lang w:val="en-US" w:eastAsia="zh-CN"/>
              </w:rPr>
              <w:t>网格中心</w:t>
            </w:r>
          </w:p>
        </w:tc>
        <w:tc>
          <w:tcPr>
            <w:tcW w:w="2845"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刘  胜</w:t>
            </w:r>
          </w:p>
        </w:tc>
        <w:tc>
          <w:tcPr>
            <w:tcW w:w="375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党组成员、副主任</w:t>
            </w:r>
          </w:p>
        </w:tc>
        <w:tc>
          <w:tcPr>
            <w:tcW w:w="15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lang w:val="en-US" w:eastAsia="zh-CN"/>
              </w:rPr>
              <w:t>网格中心</w:t>
            </w:r>
          </w:p>
        </w:tc>
        <w:tc>
          <w:tcPr>
            <w:tcW w:w="2845"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陈筑衡</w:t>
            </w:r>
          </w:p>
        </w:tc>
        <w:tc>
          <w:tcPr>
            <w:tcW w:w="375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党组成员、副主任</w:t>
            </w:r>
          </w:p>
        </w:tc>
        <w:tc>
          <w:tcPr>
            <w:tcW w:w="154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lang w:val="en-US" w:eastAsia="zh-CN"/>
              </w:rPr>
              <w:t>网格中心</w:t>
            </w:r>
          </w:p>
        </w:tc>
        <w:tc>
          <w:tcPr>
            <w:tcW w:w="2845"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27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bookmarkStart w:id="0" w:name="_GoBack"/>
            <w:bookmarkEnd w:id="0"/>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pStyle w:val="2"/>
              <w:rPr>
                <w:rFonts w:hint="eastAsia"/>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1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pStyle w:val="2"/>
              <w:rPr>
                <w:rFonts w:hint="eastAsia"/>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6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default" w:eastAsia="仿宋_GB2312"/>
                <w:sz w:val="24"/>
                <w:lang w:val="en-US" w:eastAsia="zh-CN"/>
              </w:rPr>
            </w:pPr>
            <w:r>
              <w:rPr>
                <w:rFonts w:hint="eastAsia" w:eastAsia="仿宋_GB2312"/>
                <w:sz w:val="24"/>
                <w:lang w:val="en-US" w:eastAsia="zh-CN"/>
              </w:rPr>
              <w:t xml:space="preserve">  </w:t>
            </w:r>
          </w:p>
          <w:p>
            <w:pPr>
              <w:spacing w:line="320" w:lineRule="exact"/>
              <w:rPr>
                <w:rFonts w:hint="eastAsia" w:eastAsia="仿宋_GB2312"/>
                <w:sz w:val="24"/>
              </w:rPr>
            </w:pPr>
          </w:p>
          <w:p>
            <w:pPr>
              <w:pStyle w:val="2"/>
              <w:rPr>
                <w:rFonts w:hint="eastAsia" w:eastAsia="仿宋_GB2312"/>
                <w:sz w:val="24"/>
              </w:rPr>
            </w:pPr>
          </w:p>
          <w:p>
            <w:pPr>
              <w:pStyle w:val="2"/>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spacing w:line="620" w:lineRule="exact"/>
              <w:ind w:firstLine="640" w:firstLineChars="200"/>
              <w:jc w:val="center"/>
              <w:rPr>
                <w:rFonts w:hint="eastAsia" w:eastAsia="仿宋_GB2312"/>
                <w:sz w:val="28"/>
                <w:szCs w:val="28"/>
                <w:u w:val="single"/>
              </w:rPr>
            </w:pPr>
            <w:r>
              <w:rPr>
                <w:rFonts w:hint="eastAsia" w:ascii="黑体" w:hAnsi="仿宋" w:eastAsia="黑体" w:cs="Times New Roman"/>
                <w:sz w:val="32"/>
                <w:szCs w:val="32"/>
              </w:rPr>
              <w:t>君山区社会治理网格化服务中心</w:t>
            </w:r>
            <w:r>
              <w:rPr>
                <w:rFonts w:hint="eastAsia" w:eastAsia="仿宋_GB2312"/>
                <w:sz w:val="28"/>
                <w:szCs w:val="28"/>
                <w:u w:val="single"/>
              </w:rPr>
              <w:t xml:space="preserve">   </w:t>
            </w:r>
          </w:p>
          <w:p>
            <w:pPr>
              <w:spacing w:line="620" w:lineRule="exact"/>
              <w:ind w:firstLine="640" w:firstLineChars="200"/>
              <w:jc w:val="center"/>
              <w:rPr>
                <w:rFonts w:hint="eastAsia" w:ascii="黑体" w:hAnsi="仿宋" w:eastAsia="黑体" w:cs="Times New Roman"/>
                <w:sz w:val="32"/>
                <w:szCs w:val="32"/>
              </w:rPr>
            </w:pPr>
            <w:r>
              <w:rPr>
                <w:rFonts w:hint="eastAsia" w:ascii="黑体" w:hAnsi="仿宋" w:eastAsia="黑体" w:cs="Times New Roman"/>
                <w:sz w:val="32"/>
                <w:szCs w:val="32"/>
              </w:rPr>
              <w:t>20</w:t>
            </w:r>
            <w:r>
              <w:rPr>
                <w:rFonts w:hint="eastAsia" w:ascii="黑体" w:hAnsi="仿宋" w:eastAsia="黑体" w:cs="Times New Roman"/>
                <w:sz w:val="32"/>
                <w:szCs w:val="32"/>
                <w:lang w:val="en-US" w:eastAsia="zh-CN"/>
              </w:rPr>
              <w:t>20</w:t>
            </w:r>
            <w:r>
              <w:rPr>
                <w:rFonts w:hint="eastAsia" w:ascii="黑体" w:hAnsi="仿宋" w:eastAsia="黑体" w:cs="Times New Roman"/>
                <w:sz w:val="32"/>
                <w:szCs w:val="32"/>
              </w:rPr>
              <w:t>年部门整体支出绩效评价报告</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eastAsia="zh-CN"/>
              </w:rPr>
              <w:t>君山区</w:t>
            </w:r>
            <w:r>
              <w:rPr>
                <w:rFonts w:hint="eastAsia" w:ascii="仿宋_GB2312" w:hAnsi="仿宋_GB2312" w:eastAsia="仿宋_GB2312" w:cs="仿宋_GB2312"/>
                <w:bCs/>
                <w:sz w:val="28"/>
                <w:szCs w:val="28"/>
              </w:rPr>
              <w:t>财政局关于开展20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年度财政支出绩效自评工作的通知》（</w:t>
            </w:r>
            <w:r>
              <w:rPr>
                <w:rFonts w:hint="eastAsia" w:ascii="仿宋_GB2312" w:hAnsi="仿宋_GB2312" w:eastAsia="仿宋_GB2312" w:cs="仿宋_GB2312"/>
                <w:bCs/>
                <w:sz w:val="28"/>
                <w:szCs w:val="28"/>
                <w:lang w:eastAsia="zh-CN"/>
              </w:rPr>
              <w:t>岳君财发</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rPr>
              <w:t>号）文件精神，为全面推进部门整体绩效目标的实现，提升财政资金的使用效率，强化预算支出的责任和效率，我</w:t>
            </w:r>
            <w:r>
              <w:rPr>
                <w:rFonts w:hint="eastAsia" w:ascii="仿宋_GB2312" w:hAnsi="仿宋_GB2312" w:eastAsia="仿宋_GB2312" w:cs="仿宋_GB2312"/>
                <w:bCs/>
                <w:sz w:val="28"/>
                <w:szCs w:val="28"/>
                <w:lang w:val="en-US" w:eastAsia="zh-CN"/>
              </w:rPr>
              <w:t>单位</w:t>
            </w:r>
            <w:r>
              <w:rPr>
                <w:rFonts w:hint="eastAsia" w:ascii="仿宋_GB2312" w:hAnsi="仿宋_GB2312" w:eastAsia="仿宋_GB2312" w:cs="仿宋_GB2312"/>
                <w:bCs/>
                <w:sz w:val="28"/>
                <w:szCs w:val="28"/>
              </w:rPr>
              <w:t>对20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年部门整体支出开展了绩效自评。现将具体情况报告如下：</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（一）基本情况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君山区社会治理网格化服务中心系区政府直属公益类全额拨款事业单位，为正科级。2020年编制部门核实网格中心人员编制5人，实有人数为3人。区网格中心内设机构有三个：综合室（业务培训室）、协调室、考评室。</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部门主要职能</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1、贯彻落实中央、省、市关于创新社会治理的方针政策和法律法规；拟定全区社会治理和服务创新工作规划、计划，并组织实施。</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2、研究分析全区社会治理工作形势，创新社会治理方式，拟定全区创新社会治理的发展战略、发展规划，全面推进公共服务、网格管理、居民自治和综治信息化建设。</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3、依托综治信息系统，逐步建立完善统一的服务管理平台，对全区居民有关社会治安、矛盾纠纷、社会服务等方面的求助、投诉联动受理、处理、督办、反馈。</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4、负责综治中心信息化系统的管理和维护，会同有关部门整合信息资源，对接部门数据和平台，推进君山区综治中心信息平台与各部门间信息互通共享。</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5、会同有关部门推进网上办理公共服务事项，深化“一站式”服务模式。</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6、负责建立、完善考核机制，对镇（街道）场、相关区直部门开展社区治理和服务创新工作进行考核。</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7、组织领导全区网格化服务管理工作，制定网格员主要职责和工作要求标准，指导镇（街道）场、村（社区）抓好网格员日常管理，对下达给网格员的任务指令进行督办、考核。</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8、牵头组织或会同镇（街道）场和协调相关区直部门对网格员、驻村（社区）辅警开展业务培训和思想教育。</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9、完成区委、区政府交办的其他事项。</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（二）部门（单位）整体支出规模、使用方向和主要内容、涉及范围等</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2020年本单位整体支出111.16万元，其中基本支出111.16万元，占总支出的100%，基本支出中人员支出为29.06万元，公用经费支出82.10万元；项目支出0万元，占总支出的0%。</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1．基本支出情况分析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（1）基本支出111.16万元，明细情况如下：</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①工资福利支出：29.06万元，其中基本工资11.18万元，在编工作人员津补贴0万元，奖金0.93万元，社保缴费4.38万元，住房公积金2.26万元，伙食费0 万元，绩效工资10.15万元，其他工资福利支出0.16万元。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②商品和服务支出82.1万元，其中：办公费13.17万元，印刷费15.88万元，咨询费0万元，水费0.07万元，电费0万元，邮电费1.14万元，物业管理费2.55万元，差旅费0万元，维修费6.10万元，租赁费3.4万元，会议费1.2万元，培训费1.4万元，公务接待费0.69万元，劳务费9.5万元，委托业务费4.85万元，工会经费3.44万元，公务车运行费0万元，其他交通费1.63万元，其他商品和服务支出17.08万元，办公设备购置0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③个人和家庭补助支出0万元。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（2）三公经费支出情况：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2020年三公经费支出0.69万元，财政下达控制数为0.70万元，完成财政下达控制数的98.57%，其中：因公出国（境）费0万元，公务车购置及运行维护费0万元，公务接待费0.69万元，使用当年财政拨款支出0.69万元。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2．基本支出资金管理情况分析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严格预算支出管理。在支出预算编制上，人员经费按照配置定额，逐人核定编制，公用经费分类分档，按定额编制；根据“总量控制、计划管理”的要求从严控制行政经费，压缩公务费开支，严格控制“三公”经费，资产的配置严格控制配置标准内执行，按照预算科目规定使用财政资金，保障资金支出的规范化、制度化。</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规范内部财务管理。按照国家相关法律法规，制定了我社财务收支、公物购置使用、接待、会务、公务出差、车辆使用等管理制度，并严格按照制度管理和执行，防范风险，保证财政资金的安全和高效运行。</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（二）专项支出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1．专项资金安排落实、总投入等情况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2020年本单位专项资金共计0万元，上年结余0万元。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2．专项资金实际使用情况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本级财政安排专项资金0万元，实际使用0万元.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3．专项资金管理情况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项目资金全部按财政国库集中支付制度要求使用和拨付，通过财政直接支付方式拨给项目实施单位。在拨付过程中严把监督审核关，建立健全内部审批制度，财务做好项目专帐，严格实行专款专用，保证资金及时足额用到项目中。</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（一）专项组织情况分析。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项目采取以项目实施单位为主体，网格中心监督的管理体制，项目建设严格按照区财政局的要求，对于没有达到财评的项目采取议价的方式进行实施，达到财评标准的建设项目严格按财评的要求，进行财评和公开招标程序办理，其他项目由于投资较小，均未达到招投标金额标准，由项目实施单位自行组织实施。项目按照申报方案实施，有变更的按照项目管理制度经审批后再作调整实施。年终组织专业技术人员对项目进行验收。</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（二）专项管理情况分析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按照项目资金管理制度要求，对项目实施和资金使用分配方案坚持集体决策。对项目制订工作方案，明确完成的具体时间，开展项目规划设计、部署工作，认真落实建设任务。</w:t>
            </w:r>
          </w:p>
          <w:p>
            <w:pPr>
              <w:spacing w:line="560" w:lineRule="exact"/>
              <w:ind w:firstLine="64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（一）部门整体支出定性目标及实施计划完成情况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自2017年以来，我区已建成1个区级综合指挥中心，5个镇级综治指挥中心，77个村级综治工作站，全区划分304个网格区域。前期，我区网格化服务管理信息系统累计录入楼栋信息42110栋、房屋总数59938套、人口总数172526人、单位总数1209个，社区矫正、社区戒毒人员、信访重点管控对象、精神病肇事肇祸患者、问题青少年等重点特殊人员信息1812人，2020年7月份到12月底，补录、更新、纠错、完善信息5千多条。</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自7月份以来，我单位参加联点村（许市镇凉亭村）党员大会两次，讲党课一次，认真学习领会党的十九大精神、党章和习近平系列讲话，深入开展了调查研究并建立了学习教育清单，调查研究清单，检视问题清单和整改落实清单。</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我单位联系许市镇凉亭村，今年以来，参加联点村群众大会、群众代表会两次，党员大会两次并讲党课一次。</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始终坚持贯彻中央、省委、市委、区委全面从严治党政治责任，始终保持党的作风建设永远在路上的政治清醒和高度自觉，严格落实“一岗双责”，把党风廉政建设和反腐败工作贯穿到各项工作中去，强化学习教育，夯实廉政基础，严格遵守政治纪律和政治规矩，带头守好作风“警戒线”坚决抵制“四风”，抓好中央八项规定落实。</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（二）整体支出的经济性、效率性、有效性和可持续性分析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1、经济性评价方面</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①、本年预算配置控制较好，经费支出控制在预算范围内。</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②、资产管理方面建立了固定资产管理制度，定期进行了盘点和资产清理，总体执行较好。</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2、根据部门整体支出绩效评价指标体系，本单位2020年度评价得分98分。</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3、效率性评价和有效性评价</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区网格中心2020年主要完成工作情况：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default" w:ascii="Calibri" w:hAnsi="Calibri" w:eastAsia="仿宋_GB2312" w:cs="Calibri"/>
                <w:bCs/>
                <w:sz w:val="28"/>
                <w:szCs w:val="28"/>
                <w:lang w:val="en-US" w:eastAsia="zh-CN"/>
              </w:rPr>
              <w:t>①</w:t>
            </w:r>
            <w:r>
              <w:rPr>
                <w:rFonts w:hint="eastAsia" w:ascii="仿宋_GB2312" w:hAnsi="仿宋_GB2312" w:eastAsia="仿宋_GB2312" w:cs="仿宋_GB2312"/>
                <w:bCs/>
                <w:sz w:val="28"/>
                <w:szCs w:val="28"/>
                <w:lang w:val="en-US" w:eastAsia="zh-CN"/>
              </w:rPr>
              <w:t>完善网格化信息补录更新。</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default" w:ascii="Calibri" w:hAnsi="Calibri" w:eastAsia="仿宋_GB2312" w:cs="Calibri"/>
                <w:bCs/>
                <w:sz w:val="28"/>
                <w:szCs w:val="28"/>
                <w:lang w:val="en-US" w:eastAsia="zh-CN"/>
              </w:rPr>
              <w:t>②</w:t>
            </w:r>
            <w:r>
              <w:rPr>
                <w:rFonts w:hint="eastAsia" w:ascii="仿宋_GB2312" w:hAnsi="仿宋_GB2312" w:eastAsia="仿宋_GB2312" w:cs="仿宋_GB2312"/>
                <w:bCs/>
                <w:sz w:val="28"/>
                <w:szCs w:val="28"/>
                <w:lang w:val="en-US" w:eastAsia="zh-CN"/>
              </w:rPr>
              <w:t xml:space="preserve">加强业务培训学习交流。     </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default" w:ascii="Calibri" w:hAnsi="Calibri" w:eastAsia="仿宋_GB2312" w:cs="Calibri"/>
                <w:bCs/>
                <w:sz w:val="28"/>
                <w:szCs w:val="28"/>
                <w:lang w:val="en-US" w:eastAsia="zh-CN"/>
              </w:rPr>
              <w:t>③</w:t>
            </w:r>
            <w:r>
              <w:rPr>
                <w:rFonts w:hint="eastAsia" w:ascii="仿宋_GB2312" w:hAnsi="仿宋_GB2312" w:eastAsia="仿宋_GB2312" w:cs="仿宋_GB2312"/>
                <w:bCs/>
                <w:sz w:val="28"/>
                <w:szCs w:val="28"/>
                <w:lang w:val="en-US" w:eastAsia="zh-CN"/>
              </w:rPr>
              <w:t xml:space="preserve">建章立制加强管理。     </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宋体" w:hAnsi="宋体" w:eastAsia="宋体" w:cs="宋体"/>
                <w:bCs/>
                <w:sz w:val="28"/>
                <w:szCs w:val="28"/>
                <w:lang w:val="en-US" w:eastAsia="zh-CN"/>
              </w:rPr>
              <w:t>④</w:t>
            </w:r>
            <w:r>
              <w:rPr>
                <w:rFonts w:hint="eastAsia" w:ascii="仿宋_GB2312" w:hAnsi="仿宋_GB2312" w:eastAsia="仿宋_GB2312" w:cs="仿宋_GB2312"/>
                <w:bCs/>
                <w:sz w:val="28"/>
                <w:szCs w:val="28"/>
                <w:lang w:val="en-US" w:eastAsia="zh-CN"/>
              </w:rPr>
              <w:t>加强部门联动，实现信息资源共享。</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（三）社会公众满意度评价</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通过上述工作的开展，提高了工作人员为民服务意识，树立了良好的、廉洁的、高效的政府形象，社会公众的满意度得到了提高。</w:t>
            </w:r>
          </w:p>
          <w:p>
            <w:pPr>
              <w:ind w:firstLine="560" w:firstLineChars="200"/>
              <w:rPr>
                <w:rFonts w:hint="eastAsia" w:ascii="黑体" w:hAnsi="黑体" w:eastAsia="黑体" w:cs="黑体"/>
                <w:bCs/>
                <w:sz w:val="28"/>
                <w:szCs w:val="28"/>
              </w:rPr>
            </w:pPr>
            <w:r>
              <w:rPr>
                <w:rFonts w:hint="eastAsia" w:ascii="黑体" w:hAnsi="黑体" w:eastAsia="黑体" w:cs="黑体"/>
                <w:bCs/>
                <w:sz w:val="28"/>
                <w:szCs w:val="28"/>
                <w:lang w:val="en-US" w:eastAsia="zh-CN"/>
              </w:rPr>
              <w:t xml:space="preserve">    </w:t>
            </w:r>
            <w:r>
              <w:rPr>
                <w:rFonts w:hint="eastAsia" w:ascii="黑体" w:hAnsi="黑体" w:eastAsia="黑体" w:cs="黑体"/>
                <w:bCs/>
                <w:sz w:val="28"/>
                <w:szCs w:val="28"/>
              </w:rPr>
              <w:t>五、存在的主要问题</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1、体制建设不健全。</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2、设备设施陈旧落后（但是还能用），2017年投入的硬件设施亟待维护和更新。</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3、人员信息数据录入停滞，目前我区人员信息数据录入率为83%左右，但是此项数据基本停留在2018年水平没有更新（聘用专职网格员的柳林洲街道柳毅社区除外）。</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4、网格事项的上报没有开展，网格事项是网格工作的重要载体和体现，但是受限于我区网格员的工作能动性，该项工作没有开展，去年市政法委曾因此项工作对我区进行扣分。</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5、304个网格员基本失联（柳毅社区除外），绝大部分网格员由村组干部兼职，但是绝大部分网格员不知职责所在；</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6、工作职能没有普及，相当部分乡镇领导不知网格工作内容，下设的各个站所也没有明确的工作任务，区里各职能部门对于网格工作也知之甚少，部门联动与融合无从谈起。</w:t>
            </w:r>
          </w:p>
          <w:p>
            <w:pPr>
              <w:pStyle w:val="13"/>
              <w:numPr>
                <w:ilvl w:val="0"/>
                <w:numId w:val="2"/>
              </w:numPr>
              <w:spacing w:line="560" w:lineRule="exact"/>
              <w:rPr>
                <w:rFonts w:ascii="黑体" w:hAnsi="黑体" w:eastAsia="黑体" w:cs="黑体"/>
                <w:bCs/>
                <w:sz w:val="28"/>
                <w:szCs w:val="28"/>
              </w:rPr>
            </w:pPr>
            <w:r>
              <w:rPr>
                <w:rFonts w:hint="eastAsia" w:ascii="黑体" w:hAnsi="黑体" w:eastAsia="黑体" w:cs="黑体"/>
                <w:bCs/>
                <w:sz w:val="28"/>
                <w:szCs w:val="28"/>
              </w:rPr>
              <w:t>改进措施和有关建议</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1、迅速健全工作机制。</w:t>
            </w:r>
          </w:p>
          <w:p>
            <w:pPr>
              <w:spacing w:line="560" w:lineRule="exact"/>
              <w:ind w:firstLine="560" w:firstLineChars="200"/>
              <w:rPr>
                <w:rFonts w:hint="eastAsia" w:eastAsia="楷体_GB2312"/>
                <w:bCs/>
                <w:sz w:val="28"/>
                <w:szCs w:val="28"/>
                <w:lang w:val="en-US" w:eastAsia="zh-CN"/>
              </w:rPr>
            </w:pPr>
            <w:r>
              <w:rPr>
                <w:rFonts w:hint="eastAsia" w:ascii="仿宋_GB2312" w:hAnsi="仿宋_GB2312" w:eastAsia="仿宋_GB2312" w:cs="仿宋_GB2312"/>
                <w:bCs/>
                <w:sz w:val="28"/>
                <w:szCs w:val="28"/>
                <w:lang w:val="en-US" w:eastAsia="zh-CN"/>
              </w:rPr>
              <w:t>2、分步推进网格工作布局。</w:t>
            </w:r>
          </w:p>
        </w:tc>
      </w:tr>
    </w:tbl>
    <w:p>
      <w:pPr>
        <w:rPr>
          <w:rFonts w:hint="eastAsia"/>
        </w:rPr>
      </w:pPr>
      <w:r>
        <w:rPr>
          <w:rFonts w:eastAsia="楷体_GB2312"/>
          <w:bCs/>
          <w:sz w:val="28"/>
          <w:szCs w:val="28"/>
        </w:rPr>
        <w:br w:type="page"/>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2020年部门决与年初预算存在调整项</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
      <w:pPr>
        <w:pStyle w:val="4"/>
      </w:pPr>
    </w:p>
    <w:p>
      <w:pPr>
        <w:spacing w:before="312" w:beforeLines="100" w:after="312" w:afterLines="100"/>
        <w:jc w:val="center"/>
        <w:rPr>
          <w:rFonts w:hint="eastAsia" w:ascii="方正小标宋简体" w:eastAsia="方正小标宋简体"/>
          <w:sz w:val="36"/>
          <w:szCs w:val="36"/>
          <w:lang w:eastAsia="zh-CN"/>
        </w:rPr>
      </w:pPr>
      <w:r>
        <w:rPr>
          <w:rFonts w:hint="eastAsia" w:ascii="方正小标宋简体" w:eastAsia="方正小标宋简体"/>
          <w:sz w:val="36"/>
          <w:szCs w:val="36"/>
        </w:rPr>
        <w:t>部门整体支出绩效评价评分表</w:t>
      </w:r>
      <w:r>
        <w:rPr>
          <w:rFonts w:hint="eastAsia" w:ascii="方正小标宋简体" w:eastAsia="方正小标宋简体"/>
          <w:sz w:val="36"/>
          <w:szCs w:val="36"/>
          <w:lang w:eastAsia="zh-CN"/>
        </w:rPr>
        <w:t>（</w:t>
      </w:r>
      <w:r>
        <w:rPr>
          <w:rFonts w:hint="eastAsia" w:ascii="方正小标宋简体" w:eastAsia="方正小标宋简体"/>
          <w:sz w:val="36"/>
          <w:szCs w:val="36"/>
          <w:lang w:val="en-US" w:eastAsia="zh-CN"/>
        </w:rPr>
        <w:t>续</w:t>
      </w:r>
      <w:r>
        <w:rPr>
          <w:rFonts w:hint="eastAsia" w:ascii="方正小标宋简体" w:eastAsia="方正小标宋简体"/>
          <w:sz w:val="36"/>
          <w:szCs w:val="36"/>
          <w:lang w:eastAsia="zh-CN"/>
        </w:rPr>
        <w:t>）</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固定资产尚未全面实行一物一卡管理。</w:t>
            </w: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黑体" w:hAnsi="黑体" w:eastAsia="黑体"/>
          <w:sz w:val="32"/>
          <w:szCs w:val="32"/>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lang w:eastAsia="zh-CN"/>
                            </w:rPr>
                            <w:t xml:space="preserve">— </w:t>
                          </w:r>
                          <w:r>
                            <w:fldChar w:fldCharType="begin"/>
                          </w:r>
                          <w:r>
                            <w:instrText xml:space="preserve">PAGE  </w:instrText>
                          </w:r>
                          <w:r>
                            <w:fldChar w:fldCharType="separate"/>
                          </w:r>
                          <w:r>
                            <w:rPr>
                              <w:sz w:val="24"/>
                              <w:szCs w:val="24"/>
                            </w:rPr>
                            <w:t>1</w:t>
                          </w:r>
                          <w: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pPr>
                    <w:r>
                      <w:rPr>
                        <w:rFonts w:hint="eastAsia"/>
                        <w:lang w:eastAsia="zh-CN"/>
                      </w:rPr>
                      <w:t xml:space="preserve">— </w:t>
                    </w:r>
                    <w:r>
                      <w:fldChar w:fldCharType="begin"/>
                    </w:r>
                    <w:r>
                      <w:instrText xml:space="preserve">PAGE  </w:instrText>
                    </w:r>
                    <w:r>
                      <w:fldChar w:fldCharType="separate"/>
                    </w:r>
                    <w:r>
                      <w:rPr>
                        <w:sz w:val="24"/>
                        <w:szCs w:val="24"/>
                      </w:rPr>
                      <w:t>1</w:t>
                    </w:r>
                    <w:r>
                      <w:fldChar w:fldCharType="end"/>
                    </w:r>
                    <w:r>
                      <w:rPr>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BF5573"/>
    <w:multiLevelType w:val="multilevel"/>
    <w:tmpl w:val="4DBF5573"/>
    <w:lvl w:ilvl="0" w:tentative="0">
      <w:start w:val="6"/>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60DD693D"/>
    <w:multiLevelType w:val="singleLevel"/>
    <w:tmpl w:val="60DD693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E70AC"/>
    <w:rsid w:val="03B21A3B"/>
    <w:rsid w:val="0A423A6C"/>
    <w:rsid w:val="0DD77DB8"/>
    <w:rsid w:val="0E0216E7"/>
    <w:rsid w:val="10585768"/>
    <w:rsid w:val="1402500F"/>
    <w:rsid w:val="18A060A6"/>
    <w:rsid w:val="1CDC6AEC"/>
    <w:rsid w:val="1CEE7128"/>
    <w:rsid w:val="206324CD"/>
    <w:rsid w:val="257B1B6B"/>
    <w:rsid w:val="257B4004"/>
    <w:rsid w:val="257E1E30"/>
    <w:rsid w:val="26252A71"/>
    <w:rsid w:val="2E1E3985"/>
    <w:rsid w:val="2E8B5480"/>
    <w:rsid w:val="2FEA3A41"/>
    <w:rsid w:val="30D06C64"/>
    <w:rsid w:val="32527D32"/>
    <w:rsid w:val="388E11DC"/>
    <w:rsid w:val="3ACB610C"/>
    <w:rsid w:val="3B0242E3"/>
    <w:rsid w:val="3CD27FB2"/>
    <w:rsid w:val="438D0F1E"/>
    <w:rsid w:val="46EA7E58"/>
    <w:rsid w:val="506A3027"/>
    <w:rsid w:val="50B00A5B"/>
    <w:rsid w:val="519C78D1"/>
    <w:rsid w:val="5BA929F5"/>
    <w:rsid w:val="5C2F04A0"/>
    <w:rsid w:val="5C343E10"/>
    <w:rsid w:val="5FBA2D22"/>
    <w:rsid w:val="6713436F"/>
    <w:rsid w:val="6DBC075C"/>
    <w:rsid w:val="6EAF4E38"/>
    <w:rsid w:val="738E402D"/>
    <w:rsid w:val="766D0420"/>
    <w:rsid w:val="769C618C"/>
    <w:rsid w:val="7DAD20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left="0" w:firstLine="420" w:firstLineChars="200"/>
    </w:pPr>
    <w:rPr>
      <w:rFonts w:ascii="Calibri" w:hAnsi="Calibri"/>
    </w:rPr>
  </w:style>
  <w:style w:type="paragraph" w:styleId="3">
    <w:name w:val="Body Text Indent"/>
    <w:basedOn w:val="1"/>
    <w:unhideWhenUsed/>
    <w:qFormat/>
    <w:uiPriority w:val="99"/>
    <w:pPr>
      <w:spacing w:after="120"/>
      <w:ind w:left="420" w:leftChars="200"/>
    </w:pPr>
    <w:rPr>
      <w:rFonts w:eastAsia="宋体" w:cs="Times New Roman"/>
    </w:rPr>
  </w:style>
  <w:style w:type="paragraph" w:styleId="4">
    <w:name w:val="Body Text"/>
    <w:basedOn w:val="1"/>
    <w:qFormat/>
    <w:uiPriority w:val="0"/>
    <w:rPr>
      <w:rFonts w:eastAsia="仿宋_GB2312"/>
      <w:sz w:val="3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Emphasis"/>
    <w:basedOn w:val="7"/>
    <w:qFormat/>
    <w:uiPriority w:val="0"/>
  </w:style>
  <w:style w:type="character" w:styleId="11">
    <w:name w:val="Hyperlink"/>
    <w:basedOn w:val="7"/>
    <w:qFormat/>
    <w:uiPriority w:val="0"/>
    <w:rPr>
      <w:color w:val="333333"/>
      <w:u w:val="none"/>
    </w:rPr>
  </w:style>
  <w:style w:type="character" w:styleId="12">
    <w:name w:val="HTML Code"/>
    <w:basedOn w:val="7"/>
    <w:qFormat/>
    <w:uiPriority w:val="0"/>
    <w:rPr>
      <w:rFonts w:ascii="Courier New" w:hAnsi="Courier New"/>
      <w:sz w:val="20"/>
    </w:rPr>
  </w:style>
  <w:style w:type="paragraph" w:customStyle="1" w:styleId="13">
    <w:name w:val="List Paragraph"/>
    <w:basedOn w:val="1"/>
    <w:unhideWhenUsed/>
    <w:qFormat/>
    <w:uiPriority w:val="34"/>
    <w:pPr>
      <w:ind w:firstLine="420"/>
    </w:pPr>
  </w:style>
  <w:style w:type="character" w:customStyle="1" w:styleId="14">
    <w:name w:val="time"/>
    <w:basedOn w:val="7"/>
    <w:qFormat/>
    <w:uiPriority w:val="0"/>
    <w:rPr>
      <w:color w:val="999999"/>
      <w:sz w:val="18"/>
      <w:szCs w:val="18"/>
    </w:rPr>
  </w:style>
  <w:style w:type="character" w:customStyle="1" w:styleId="15">
    <w:name w:val="time1"/>
    <w:basedOn w:val="7"/>
    <w:qFormat/>
    <w:uiPriority w:val="0"/>
    <w:rPr>
      <w:shd w:val="clear" w:fill="F5F7FB"/>
    </w:rPr>
  </w:style>
  <w:style w:type="character" w:customStyle="1" w:styleId="16">
    <w:name w:val="time2"/>
    <w:basedOn w:val="7"/>
    <w:qFormat/>
    <w:uiPriority w:val="0"/>
    <w:rPr>
      <w:color w:val="888888"/>
    </w:rPr>
  </w:style>
  <w:style w:type="character" w:customStyle="1" w:styleId="17">
    <w:name w:val="time3"/>
    <w:basedOn w:val="7"/>
    <w:qFormat/>
    <w:uiPriority w:val="0"/>
    <w:rPr>
      <w:color w:val="888888"/>
    </w:rPr>
  </w:style>
  <w:style w:type="character" w:customStyle="1" w:styleId="18">
    <w:name w:val="time4"/>
    <w:basedOn w:val="7"/>
    <w:qFormat/>
    <w:uiPriority w:val="0"/>
    <w:rPr>
      <w:color w:val="88888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2021-07-20T02:38:29Z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8548AA7B82B0487D9665272B7F0C727C</vt:lpwstr>
  </property>
</Properties>
</file>