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eastAsia="方正小标宋简体"/>
          <w:bCs/>
          <w:sz w:val="46"/>
          <w:szCs w:val="46"/>
        </w:rPr>
      </w:pPr>
      <w:r>
        <w:rPr>
          <w:rFonts w:hint="eastAsia" w:eastAsia="方正小标宋简体"/>
          <w:bCs/>
          <w:sz w:val="46"/>
          <w:szCs w:val="46"/>
        </w:rPr>
        <w:t>君山区2021年度部门（单位）整体支出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部门(单位)名称：岳阳市君山区财政局</w:t>
      </w:r>
    </w:p>
    <w:p>
      <w:pPr>
        <w:spacing w:beforeLines="50" w:line="348" w:lineRule="auto"/>
        <w:ind w:firstLine="476" w:firstLineChars="150"/>
        <w:rPr>
          <w:rFonts w:eastAsia="仿宋_GB2312"/>
          <w:color w:val="auto"/>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color w:val="auto"/>
          <w:spacing w:val="30"/>
          <w:sz w:val="32"/>
          <w:szCs w:val="32"/>
        </w:rPr>
        <w:t>115001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w:t>
      </w:r>
      <w:r>
        <w:rPr>
          <w:rFonts w:hint="eastAsia" w:eastAsia="仿宋_GB2312"/>
          <w:sz w:val="32"/>
          <w:lang w:val="en-US" w:eastAsia="zh-CN"/>
        </w:rPr>
        <w:t>8</w:t>
      </w:r>
      <w:r>
        <w:rPr>
          <w:rFonts w:hint="eastAsia" w:eastAsia="仿宋_GB2312"/>
          <w:sz w:val="32"/>
        </w:rPr>
        <w:t>月5 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君山区财政</w:t>
      </w:r>
      <w:r>
        <w:rPr>
          <w:rFonts w:hint="eastAsia" w:eastAsia="仿宋_GB2312"/>
          <w:sz w:val="32"/>
          <w:szCs w:val="32"/>
        </w:rPr>
        <w:t>局（制）</w:t>
      </w:r>
    </w:p>
    <w:p>
      <w:pPr>
        <w:spacing w:beforeLines="50" w:line="348" w:lineRule="auto"/>
        <w:rPr>
          <w:rFonts w:eastAsia="仿宋_GB2312"/>
          <w:sz w:val="32"/>
          <w:szCs w:val="32"/>
        </w:rPr>
      </w:pP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165"/>
        <w:gridCol w:w="1190"/>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bookmarkStart w:id="0" w:name="_GoBack"/>
            <w:bookmarkEnd w:id="0"/>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冯慧</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18274069188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auto"/>
                <w:sz w:val="24"/>
              </w:rPr>
              <w:t>78</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FF0000"/>
                <w:sz w:val="24"/>
                <w:lang w:val="en-US" w:eastAsia="zh-CN"/>
              </w:rPr>
            </w:pPr>
            <w:r>
              <w:rPr>
                <w:rFonts w:hint="eastAsia" w:ascii="仿宋_GB2312" w:hAnsi="仿宋_GB2312" w:eastAsia="仿宋_GB2312" w:cs="仿宋_GB2312"/>
                <w:color w:val="auto"/>
                <w:sz w:val="24"/>
                <w:lang w:val="en-US" w:eastAsia="zh-CN"/>
              </w:rPr>
              <w:t>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华文仿宋" w:hAnsi="华文仿宋" w:eastAsia="华文仿宋" w:cs="仿宋_GB2312"/>
                <w:color w:val="000000"/>
                <w:sz w:val="24"/>
              </w:rPr>
              <w:t xml:space="preserve">   执行本级人民代表大会决议和上级行政机关的决定和命令，落实国家政策，严格依法行政；执行本区域内的经济和社会发展计划、预算，管理本区域内的经济、教育、科学、文化、体育事业和财政、民政、司法行政、计划生育等行政工作，发展乡村经济、文化和社会事业，提供公共服务。确保人员工资正常发放，单位正常运转，基本民生保障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81"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400" w:lineRule="exact"/>
              <w:jc w:val="left"/>
              <w:textAlignment w:val="center"/>
              <w:rPr>
                <w:rFonts w:ascii="华文仿宋" w:hAnsi="华文仿宋" w:eastAsia="华文仿宋" w:cs="仿宋_GB2312"/>
                <w:color w:val="000000"/>
                <w:sz w:val="24"/>
              </w:rPr>
            </w:pPr>
            <w:r>
              <w:rPr>
                <w:rFonts w:hint="eastAsia" w:ascii="华文仿宋" w:hAnsi="华文仿宋" w:eastAsia="华文仿宋" w:cs="仿宋_GB2312"/>
                <w:color w:val="000000"/>
                <w:sz w:val="24"/>
              </w:rPr>
              <w:t>1：狠抓收入征管，增强财政综合实力</w:t>
            </w:r>
          </w:p>
          <w:p>
            <w:pPr>
              <w:autoSpaceDN w:val="0"/>
              <w:spacing w:line="400" w:lineRule="exact"/>
              <w:jc w:val="left"/>
              <w:textAlignment w:val="center"/>
              <w:rPr>
                <w:rFonts w:ascii="华文仿宋" w:hAnsi="华文仿宋" w:eastAsia="华文仿宋" w:cs="仿宋_GB2312"/>
                <w:color w:val="000000"/>
                <w:sz w:val="24"/>
              </w:rPr>
            </w:pPr>
            <w:r>
              <w:rPr>
                <w:rFonts w:hint="eastAsia" w:ascii="华文仿宋" w:hAnsi="华文仿宋" w:eastAsia="华文仿宋" w:cs="仿宋_GB2312"/>
                <w:color w:val="000000"/>
                <w:sz w:val="24"/>
              </w:rPr>
              <w:t>2：深化财政改革，确保体制机制完善</w:t>
            </w:r>
          </w:p>
          <w:p>
            <w:pPr>
              <w:autoSpaceDN w:val="0"/>
              <w:spacing w:line="400" w:lineRule="exact"/>
              <w:jc w:val="left"/>
              <w:textAlignment w:val="center"/>
              <w:rPr>
                <w:rFonts w:ascii="华文仿宋" w:hAnsi="华文仿宋" w:eastAsia="华文仿宋" w:cs="仿宋_GB2312"/>
                <w:color w:val="000000"/>
                <w:sz w:val="24"/>
              </w:rPr>
            </w:pPr>
            <w:r>
              <w:rPr>
                <w:rFonts w:hint="eastAsia" w:ascii="华文仿宋" w:hAnsi="华文仿宋" w:eastAsia="华文仿宋" w:cs="仿宋_GB2312"/>
                <w:color w:val="000000"/>
                <w:sz w:val="24"/>
              </w:rPr>
              <w:t>3：防范财政风险，支持经济稳健发展</w:t>
            </w:r>
          </w:p>
          <w:p>
            <w:pPr>
              <w:autoSpaceDN w:val="0"/>
              <w:spacing w:line="400" w:lineRule="exact"/>
              <w:jc w:val="left"/>
              <w:textAlignment w:val="center"/>
              <w:rPr>
                <w:rFonts w:ascii="华文仿宋" w:hAnsi="华文仿宋" w:eastAsia="华文仿宋" w:cs="仿宋_GB2312"/>
                <w:color w:val="000000"/>
                <w:sz w:val="24"/>
              </w:rPr>
            </w:pPr>
            <w:r>
              <w:rPr>
                <w:rFonts w:hint="eastAsia" w:ascii="华文仿宋" w:hAnsi="华文仿宋" w:eastAsia="华文仿宋" w:cs="仿宋_GB2312"/>
                <w:color w:val="000000"/>
                <w:sz w:val="24"/>
              </w:rPr>
              <w:t>4：强化支出保障，彰显财政公共职能</w:t>
            </w:r>
          </w:p>
          <w:p>
            <w:pPr>
              <w:autoSpaceDN w:val="0"/>
              <w:spacing w:line="320" w:lineRule="exact"/>
              <w:jc w:val="left"/>
              <w:textAlignment w:val="center"/>
              <w:rPr>
                <w:rFonts w:ascii="仿宋_GB2312" w:hAnsi="仿宋_GB2312" w:eastAsia="仿宋_GB2312" w:cs="仿宋_GB2312"/>
                <w:color w:val="000000"/>
                <w:sz w:val="24"/>
              </w:rPr>
            </w:pPr>
            <w:r>
              <w:rPr>
                <w:rFonts w:hint="eastAsia" w:ascii="华文仿宋" w:hAnsi="华文仿宋" w:eastAsia="华文仿宋" w:cs="仿宋_GB2312"/>
                <w:color w:val="000000"/>
                <w:sz w:val="24"/>
              </w:rPr>
              <w:t>5：严格财政监督，提高资金使用绩效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51"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华文仿宋" w:hAnsi="华文仿宋" w:eastAsia="华文仿宋" w:cs="仿宋_GB2312"/>
                <w:color w:val="000000"/>
                <w:sz w:val="24"/>
              </w:rPr>
              <w:t>通过财政局各二级机构及股室的不懈努力，全区经济发展运行良好，已圆满完成本年度各项目标任务，获得市、区先进单位。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2024.76</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2024.76</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961.98</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961.98</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财政事务中心</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139.64</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139.64</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国库集中支付中心</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552.5</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552.5</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乡镇财政</w:t>
            </w:r>
            <w:r>
              <w:rPr>
                <w:rFonts w:hint="eastAsia" w:ascii="仿宋_GB2312" w:hAnsi="仿宋_GB2312" w:eastAsia="仿宋_GB2312" w:cs="仿宋_GB2312"/>
                <w:sz w:val="20"/>
                <w:szCs w:val="20"/>
                <w:lang w:eastAsia="zh-CN"/>
              </w:rPr>
              <w:t>服务</w:t>
            </w:r>
            <w:r>
              <w:rPr>
                <w:rFonts w:hint="eastAsia" w:ascii="仿宋_GB2312" w:hAnsi="仿宋_GB2312" w:eastAsia="仿宋_GB2312" w:cs="仿宋_GB2312"/>
                <w:sz w:val="20"/>
                <w:szCs w:val="20"/>
              </w:rPr>
              <w:t>中心</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370.64</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370.64</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8"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1"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2"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2024.76</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1484.03</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1041.0</w:t>
            </w:r>
            <w:r>
              <w:rPr>
                <w:rFonts w:hint="eastAsia" w:ascii="仿宋_GB2312" w:hAnsi="仿宋_GB2312" w:eastAsia="仿宋_GB2312" w:cs="仿宋_GB2312"/>
                <w:color w:val="000000"/>
                <w:sz w:val="24"/>
                <w:lang w:val="en-US" w:eastAsia="zh-CN"/>
              </w:rPr>
              <w:t>5</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4</w:t>
            </w:r>
            <w:r>
              <w:rPr>
                <w:rFonts w:hint="eastAsia" w:ascii="仿宋_GB2312" w:hAnsi="仿宋_GB2312" w:eastAsia="仿宋_GB2312" w:cs="仿宋_GB2312"/>
                <w:color w:val="000000"/>
                <w:sz w:val="24"/>
                <w:lang w:val="en-US" w:eastAsia="zh-CN"/>
              </w:rPr>
              <w:t>42.98</w:t>
            </w:r>
          </w:p>
        </w:tc>
        <w:tc>
          <w:tcPr>
            <w:tcW w:w="1080" w:type="dxa"/>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540.73</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961.98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829.66</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545.7</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val="en-US" w:eastAsia="zh-CN"/>
              </w:rPr>
              <w:t>83.96</w:t>
            </w:r>
          </w:p>
        </w:tc>
        <w:tc>
          <w:tcPr>
            <w:tcW w:w="1080" w:type="dxa"/>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132.32</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3" w:hRule="atLeast"/>
          <w:jc w:val="center"/>
        </w:trPr>
        <w:tc>
          <w:tcPr>
            <w:tcW w:w="1700" w:type="dxa"/>
            <w:gridSpan w:val="3"/>
            <w:vAlign w:val="center"/>
          </w:tcPr>
          <w:p>
            <w:pPr>
              <w:spacing w:line="32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财政事务中心</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139.64</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138.33</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74.84</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6</w:t>
            </w:r>
            <w:r>
              <w:rPr>
                <w:rFonts w:hint="eastAsia" w:ascii="仿宋_GB2312" w:hAnsi="仿宋_GB2312" w:eastAsia="仿宋_GB2312" w:cs="仿宋_GB2312"/>
                <w:color w:val="000000"/>
                <w:sz w:val="24"/>
                <w:lang w:val="en-US" w:eastAsia="zh-CN"/>
              </w:rPr>
              <w:t>3.49</w:t>
            </w:r>
          </w:p>
        </w:tc>
        <w:tc>
          <w:tcPr>
            <w:tcW w:w="1080" w:type="dxa"/>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1.31</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国库集中支付中心</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552.5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164.35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144.17</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20.18</w:t>
            </w:r>
          </w:p>
        </w:tc>
        <w:tc>
          <w:tcPr>
            <w:tcW w:w="1080" w:type="dxa"/>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388.15</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乡镇财政</w:t>
            </w:r>
            <w:r>
              <w:rPr>
                <w:rFonts w:hint="eastAsia" w:ascii="仿宋_GB2312" w:hAnsi="仿宋_GB2312" w:eastAsia="仿宋_GB2312" w:cs="仿宋_GB2312"/>
                <w:sz w:val="20"/>
                <w:szCs w:val="20"/>
                <w:lang w:eastAsia="zh-CN"/>
              </w:rPr>
              <w:t>服务</w:t>
            </w:r>
            <w:r>
              <w:rPr>
                <w:rFonts w:hint="eastAsia" w:ascii="仿宋_GB2312" w:hAnsi="仿宋_GB2312" w:eastAsia="仿宋_GB2312" w:cs="仿宋_GB2312"/>
                <w:sz w:val="20"/>
                <w:szCs w:val="20"/>
              </w:rPr>
              <w:t>中心</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370.64</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351.69</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276.34</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75.35</w:t>
            </w:r>
          </w:p>
        </w:tc>
        <w:tc>
          <w:tcPr>
            <w:tcW w:w="1080" w:type="dxa"/>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18.95</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5"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2"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FF0000"/>
                <w:sz w:val="24"/>
                <w:lang w:eastAsia="zh-CN"/>
              </w:rPr>
            </w:pPr>
            <w:r>
              <w:rPr>
                <w:rFonts w:hint="eastAsia" w:ascii="仿宋_GB2312" w:hAnsi="仿宋_GB2312" w:eastAsia="仿宋_GB2312" w:cs="仿宋_GB2312"/>
                <w:color w:val="auto"/>
                <w:sz w:val="24"/>
              </w:rPr>
              <w:t>1</w:t>
            </w:r>
            <w:r>
              <w:rPr>
                <w:rFonts w:hint="eastAsia" w:ascii="仿宋_GB2312" w:hAnsi="仿宋_GB2312" w:eastAsia="仿宋_GB2312" w:cs="仿宋_GB2312"/>
                <w:color w:val="auto"/>
                <w:sz w:val="24"/>
                <w:lang w:val="en-US" w:eastAsia="zh-CN"/>
              </w:rPr>
              <w:t>4</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2.76</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财政事务中心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2.28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1.91</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国库集中支付中心</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8.</w:t>
            </w:r>
            <w:r>
              <w:rPr>
                <w:rFonts w:hint="eastAsia" w:ascii="仿宋_GB2312" w:hAnsi="仿宋_GB2312" w:eastAsia="仿宋_GB2312" w:cs="仿宋_GB2312"/>
                <w:color w:val="auto"/>
                <w:sz w:val="24"/>
                <w:lang w:val="en-US" w:eastAsia="zh-CN"/>
              </w:rPr>
              <w:t>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乡镇财政</w:t>
            </w:r>
            <w:r>
              <w:rPr>
                <w:rFonts w:hint="eastAsia" w:ascii="仿宋_GB2312" w:hAnsi="仿宋_GB2312" w:eastAsia="仿宋_GB2312" w:cs="仿宋_GB2312"/>
                <w:sz w:val="20"/>
                <w:szCs w:val="20"/>
                <w:lang w:eastAsia="zh-CN"/>
              </w:rPr>
              <w:t>服务</w:t>
            </w:r>
            <w:r>
              <w:rPr>
                <w:rFonts w:hint="eastAsia" w:ascii="仿宋_GB2312" w:hAnsi="仿宋_GB2312" w:eastAsia="仿宋_GB2312" w:cs="仿宋_GB2312"/>
                <w:sz w:val="20"/>
                <w:szCs w:val="20"/>
              </w:rPr>
              <w:t>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FF0000"/>
                <w:sz w:val="24"/>
                <w:lang w:val="en-US" w:eastAsia="zh-CN"/>
              </w:rPr>
            </w:pPr>
            <w:r>
              <w:rPr>
                <w:rFonts w:hint="eastAsia" w:ascii="仿宋_GB2312" w:hAnsi="仿宋_GB2312" w:eastAsia="仿宋_GB2312" w:cs="仿宋_GB2312"/>
                <w:color w:val="auto"/>
                <w:sz w:val="24"/>
                <w:lang w:val="en-US" w:eastAsia="zh-CN"/>
              </w:rPr>
              <w:t>0.46</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0.24</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1159.38</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1159.38</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440.69</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440.69</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财政事务中心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国库集中支付中心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709.91</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709.91</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乡镇财政</w:t>
            </w:r>
            <w:r>
              <w:rPr>
                <w:rFonts w:hint="eastAsia" w:ascii="仿宋_GB2312" w:hAnsi="仿宋_GB2312" w:eastAsia="仿宋_GB2312" w:cs="仿宋_GB2312"/>
                <w:sz w:val="20"/>
                <w:szCs w:val="20"/>
                <w:lang w:eastAsia="zh-CN"/>
              </w:rPr>
              <w:t>服务</w:t>
            </w:r>
            <w:r>
              <w:rPr>
                <w:rFonts w:hint="eastAsia" w:ascii="仿宋_GB2312" w:hAnsi="仿宋_GB2312" w:eastAsia="仿宋_GB2312" w:cs="仿宋_GB2312"/>
                <w:sz w:val="20"/>
                <w:szCs w:val="20"/>
              </w:rPr>
              <w:t>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6.78</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6.78</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华文仿宋" w:eastAsia="仿宋_GB2312" w:cs="仿宋_GB2312"/>
                <w:color w:val="000000"/>
                <w:sz w:val="24"/>
              </w:rPr>
              <w:t>全年财税工作任务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r>
              <w:rPr>
                <w:rFonts w:hint="eastAsia" w:ascii="仿宋_GB2312" w:hAnsi="华文仿宋" w:eastAsia="仿宋_GB2312" w:cs="仿宋_GB2312"/>
                <w:color w:val="000000"/>
                <w:sz w:val="24"/>
              </w:rPr>
              <w:t>国有资产管理及国企改革</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Cs w:val="21"/>
              </w:rPr>
              <w:t>深化国库集中支付电子化改革</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目标4：提高服务监管能力</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sz w:val="24"/>
              </w:rPr>
              <w:t>全年财税工作任务完成情况较好；国有资产管理及国企改革和国库集中支付电子化改革稳步推进；服务监管能力有效提高。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04"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62"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400" w:lineRule="exact"/>
              <w:jc w:val="left"/>
              <w:textAlignment w:val="center"/>
              <w:rPr>
                <w:rFonts w:ascii="仿宋_GB2312" w:hAnsi="华文仿宋" w:eastAsia="仿宋_GB2312" w:cs="仿宋_GB2312"/>
                <w:color w:val="000000"/>
                <w:sz w:val="24"/>
              </w:rPr>
            </w:pPr>
            <w:r>
              <w:rPr>
                <w:rFonts w:hint="eastAsia" w:ascii="仿宋_GB2312" w:hAnsi="华文仿宋" w:eastAsia="仿宋_GB2312" w:cs="仿宋_GB2312"/>
                <w:color w:val="000000"/>
                <w:sz w:val="24"/>
              </w:rPr>
              <w:t>指标1： 实现国有资产帐帐相符、帐实相符、一物一卡一条码。</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FF0000"/>
                <w:sz w:val="24"/>
              </w:rPr>
            </w:pPr>
            <w:r>
              <w:rPr>
                <w:rFonts w:hint="eastAsia" w:ascii="仿宋_GB2312" w:hAnsi="华文仿宋" w:eastAsia="仿宋_GB2312" w:cs="仿宋_GB2312"/>
                <w:color w:val="000000"/>
                <w:sz w:val="24"/>
              </w:rPr>
              <w:t>已实现国有资产帐帐相符、帐实相符、一物一卡一条码。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04" w:type="dxa"/>
            <w:gridSpan w:val="4"/>
            <w:vMerge w:val="continue"/>
            <w:vAlign w:val="center"/>
          </w:tcPr>
          <w:p>
            <w:pPr>
              <w:autoSpaceDN w:val="0"/>
              <w:spacing w:line="320" w:lineRule="exact"/>
              <w:rPr>
                <w:rFonts w:ascii="仿宋_GB2312" w:hAnsi="仿宋_GB2312" w:eastAsia="仿宋_GB2312" w:cs="仿宋_GB2312"/>
                <w:sz w:val="24"/>
              </w:rPr>
            </w:pPr>
          </w:p>
        </w:tc>
        <w:tc>
          <w:tcPr>
            <w:tcW w:w="1462"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400" w:lineRule="exact"/>
              <w:jc w:val="left"/>
              <w:textAlignment w:val="center"/>
              <w:rPr>
                <w:rFonts w:ascii="仿宋_GB2312" w:hAnsi="华文仿宋" w:eastAsia="仿宋_GB2312" w:cs="仿宋_GB2312"/>
                <w:color w:val="000000"/>
                <w:sz w:val="24"/>
              </w:rPr>
            </w:pPr>
            <w:r>
              <w:rPr>
                <w:rFonts w:hint="eastAsia" w:ascii="仿宋_GB2312" w:hAnsi="华文仿宋" w:eastAsia="仿宋_GB2312" w:cs="仿宋_GB2312"/>
                <w:color w:val="000000"/>
                <w:sz w:val="24"/>
              </w:rPr>
              <w:t>指标2：国有企业改制及经营管理</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FF0000"/>
                <w:sz w:val="24"/>
              </w:rPr>
            </w:pPr>
            <w:r>
              <w:rPr>
                <w:rFonts w:hint="eastAsia" w:ascii="仿宋_GB2312" w:hAnsi="华文仿宋" w:eastAsia="仿宋_GB2312" w:cs="仿宋_GB2312"/>
                <w:color w:val="000000"/>
                <w:sz w:val="24"/>
              </w:rPr>
              <w:t>国有企业改制及经营管理情况良好。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04" w:type="dxa"/>
            <w:gridSpan w:val="4"/>
            <w:vMerge w:val="continue"/>
            <w:vAlign w:val="center"/>
          </w:tcPr>
          <w:p>
            <w:pPr>
              <w:autoSpaceDN w:val="0"/>
              <w:spacing w:line="320" w:lineRule="exact"/>
              <w:rPr>
                <w:rFonts w:ascii="仿宋_GB2312" w:hAnsi="仿宋_GB2312" w:eastAsia="仿宋_GB2312" w:cs="仿宋_GB2312"/>
                <w:sz w:val="24"/>
              </w:rPr>
            </w:pPr>
          </w:p>
        </w:tc>
        <w:tc>
          <w:tcPr>
            <w:tcW w:w="1462"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400" w:lineRule="exact"/>
              <w:jc w:val="left"/>
              <w:textAlignment w:val="center"/>
              <w:rPr>
                <w:rFonts w:ascii="仿宋_GB2312" w:hAnsi="华文仿宋" w:eastAsia="仿宋_GB2312" w:cs="仿宋_GB2312"/>
                <w:color w:val="000000"/>
                <w:sz w:val="24"/>
              </w:rPr>
            </w:pPr>
            <w:r>
              <w:rPr>
                <w:rFonts w:hint="eastAsia" w:ascii="仿宋_GB2312" w:hAnsi="华文仿宋" w:eastAsia="仿宋_GB2312" w:cs="仿宋_GB2312"/>
                <w:color w:val="000000"/>
                <w:sz w:val="24"/>
              </w:rPr>
              <w:t>指标3：经管资产及自然资源资产的编报</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FF0000"/>
                <w:sz w:val="24"/>
              </w:rPr>
            </w:pPr>
            <w:r>
              <w:rPr>
                <w:rFonts w:hint="eastAsia" w:ascii="仿宋_GB2312" w:hAnsi="华文仿宋" w:eastAsia="仿宋_GB2312" w:cs="仿宋_GB2312"/>
                <w:color w:val="000000"/>
                <w:sz w:val="24"/>
              </w:rPr>
              <w:t>经管资产及自然资源资产的编报工作有序进行。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04" w:type="dxa"/>
            <w:gridSpan w:val="4"/>
            <w:vMerge w:val="continue"/>
            <w:vAlign w:val="center"/>
          </w:tcPr>
          <w:p>
            <w:pPr>
              <w:autoSpaceDN w:val="0"/>
              <w:spacing w:line="320" w:lineRule="exact"/>
              <w:rPr>
                <w:rFonts w:ascii="仿宋_GB2312" w:hAnsi="仿宋_GB2312" w:eastAsia="仿宋_GB2312" w:cs="仿宋_GB2312"/>
                <w:sz w:val="24"/>
              </w:rPr>
            </w:pPr>
          </w:p>
        </w:tc>
        <w:tc>
          <w:tcPr>
            <w:tcW w:w="146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华文仿宋" w:eastAsia="仿宋_GB2312" w:cs="仿宋_GB2312"/>
                <w:color w:val="000000"/>
                <w:sz w:val="24"/>
              </w:rPr>
              <w:t>指标1：新旧会计制度改革信息化建设</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FF0000"/>
                <w:sz w:val="24"/>
              </w:rPr>
            </w:pPr>
            <w:r>
              <w:rPr>
                <w:rFonts w:hint="eastAsia" w:ascii="仿宋_GB2312" w:hAnsi="华文仿宋" w:eastAsia="仿宋_GB2312" w:cs="仿宋_GB2312"/>
                <w:color w:val="000000"/>
                <w:sz w:val="24"/>
              </w:rPr>
              <w:t>新旧会计制度改革信息化建设</w:t>
            </w:r>
            <w:r>
              <w:rPr>
                <w:rFonts w:hint="eastAsia" w:ascii="仿宋_GB2312" w:hAnsi="仿宋_GB2312" w:eastAsia="仿宋_GB2312" w:cs="仿宋_GB2312"/>
                <w:sz w:val="24"/>
              </w:rPr>
              <w:t>稳步推进。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04" w:type="dxa"/>
            <w:gridSpan w:val="4"/>
            <w:vMerge w:val="continue"/>
            <w:vAlign w:val="center"/>
          </w:tcPr>
          <w:p>
            <w:pPr>
              <w:autoSpaceDN w:val="0"/>
              <w:spacing w:line="320" w:lineRule="exact"/>
              <w:rPr>
                <w:rFonts w:ascii="仿宋_GB2312" w:hAnsi="仿宋_GB2312" w:eastAsia="仿宋_GB2312" w:cs="仿宋_GB2312"/>
                <w:sz w:val="24"/>
              </w:rPr>
            </w:pPr>
          </w:p>
        </w:tc>
        <w:tc>
          <w:tcPr>
            <w:tcW w:w="1462"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指标1：减少资金拨付环节。</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FF0000"/>
                <w:sz w:val="24"/>
              </w:rPr>
            </w:pPr>
            <w:r>
              <w:rPr>
                <w:rFonts w:hint="eastAsia" w:ascii="仿宋_GB2312" w:hAnsi="仿宋_GB2312" w:eastAsia="仿宋_GB2312" w:cs="仿宋_GB2312"/>
                <w:color w:val="000000"/>
                <w:sz w:val="24"/>
              </w:rPr>
              <w:t>资金拨付环节依实际情况减少。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04" w:type="dxa"/>
            <w:gridSpan w:val="4"/>
            <w:vMerge w:val="continue"/>
            <w:vAlign w:val="center"/>
          </w:tcPr>
          <w:p>
            <w:pPr>
              <w:autoSpaceDN w:val="0"/>
              <w:spacing w:line="320" w:lineRule="exact"/>
              <w:rPr>
                <w:rFonts w:ascii="仿宋_GB2312" w:hAnsi="仿宋_GB2312" w:eastAsia="仿宋_GB2312" w:cs="仿宋_GB2312"/>
                <w:sz w:val="24"/>
              </w:rPr>
            </w:pPr>
          </w:p>
        </w:tc>
        <w:tc>
          <w:tcPr>
            <w:tcW w:w="1462"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指标2：提高资金使用效益。</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FF0000"/>
                <w:sz w:val="24"/>
              </w:rPr>
            </w:pPr>
            <w:r>
              <w:rPr>
                <w:rFonts w:hint="eastAsia" w:ascii="仿宋_GB2312" w:hAnsi="仿宋_GB2312" w:eastAsia="仿宋_GB2312" w:cs="仿宋_GB2312"/>
                <w:color w:val="000000"/>
                <w:sz w:val="24"/>
              </w:rPr>
              <w:t>资金使用效益稳步提高。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04" w:type="dxa"/>
            <w:gridSpan w:val="4"/>
            <w:vMerge w:val="continue"/>
            <w:vAlign w:val="center"/>
          </w:tcPr>
          <w:p>
            <w:pPr>
              <w:autoSpaceDN w:val="0"/>
              <w:spacing w:line="320" w:lineRule="exact"/>
              <w:rPr>
                <w:rFonts w:ascii="仿宋_GB2312" w:hAnsi="仿宋_GB2312" w:eastAsia="仿宋_GB2312" w:cs="仿宋_GB2312"/>
                <w:sz w:val="24"/>
              </w:rPr>
            </w:pPr>
          </w:p>
        </w:tc>
        <w:tc>
          <w:tcPr>
            <w:tcW w:w="1462"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指标3：保证财政资金安全，做到资金拨付零事故率。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FF0000"/>
                <w:sz w:val="24"/>
              </w:rPr>
            </w:pPr>
            <w:r>
              <w:rPr>
                <w:rFonts w:hint="eastAsia" w:ascii="仿宋_GB2312" w:hAnsi="仿宋_GB2312" w:eastAsia="仿宋_GB2312" w:cs="仿宋_GB2312"/>
                <w:color w:val="000000"/>
                <w:sz w:val="24"/>
              </w:rPr>
              <w:t>财政资金安全，已做到资金拨付零事故率。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33"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04"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6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指标1：深化国库集中支付改革，不断提升监管与服务水平，进一步扩大部门预算编制的影响力，推动全区国库集中支付工作再创新佳绩</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FF0000"/>
                <w:sz w:val="24"/>
              </w:rPr>
            </w:pPr>
            <w:r>
              <w:rPr>
                <w:rFonts w:hint="eastAsia" w:ascii="仿宋_GB2312" w:hAnsi="仿宋_GB2312" w:eastAsia="仿宋_GB2312" w:cs="仿宋_GB2312"/>
                <w:color w:val="000000"/>
                <w:sz w:val="24"/>
              </w:rPr>
              <w:t>国库集中支付改革稳步推进，监管与服务水平不断提升，部门预算编制的影响力进一步扩大。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04" w:type="dxa"/>
            <w:gridSpan w:val="4"/>
            <w:vMerge w:val="continue"/>
            <w:vAlign w:val="center"/>
          </w:tcPr>
          <w:p>
            <w:pPr>
              <w:autoSpaceDN w:val="0"/>
              <w:spacing w:line="320" w:lineRule="exact"/>
              <w:rPr>
                <w:rFonts w:ascii="仿宋_GB2312" w:hAnsi="仿宋_GB2312" w:eastAsia="仿宋_GB2312" w:cs="仿宋_GB2312"/>
                <w:sz w:val="24"/>
              </w:rPr>
            </w:pPr>
          </w:p>
        </w:tc>
        <w:tc>
          <w:tcPr>
            <w:tcW w:w="146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指标1：纳入集中支付区直预算单位服务满意率95%以上</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FF0000"/>
                <w:sz w:val="24"/>
              </w:rPr>
            </w:pPr>
            <w:r>
              <w:rPr>
                <w:rFonts w:hint="eastAsia" w:ascii="仿宋_GB2312" w:hAnsi="仿宋_GB2312" w:eastAsia="仿宋_GB2312" w:cs="仿宋_GB2312"/>
                <w:color w:val="000000"/>
                <w:sz w:val="24"/>
              </w:rPr>
              <w:t>纳入集中支付区直预算单位服务满意率已达到95%以上。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4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55"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4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55"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刘志海</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副局长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君山区财政局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党成伟</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国库集中支付主任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君山区财政局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熊传红</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乡镇财政</w:t>
            </w:r>
            <w:r>
              <w:rPr>
                <w:rFonts w:hint="eastAsia" w:ascii="仿宋_GB2312" w:hAnsi="仿宋_GB2312" w:eastAsia="仿宋_GB2312" w:cs="仿宋_GB2312"/>
                <w:color w:val="000000"/>
                <w:sz w:val="24"/>
                <w:lang w:eastAsia="zh-CN"/>
              </w:rPr>
              <w:t>服务</w:t>
            </w:r>
            <w:r>
              <w:rPr>
                <w:rFonts w:hint="eastAsia" w:ascii="仿宋_GB2312" w:hAnsi="仿宋_GB2312" w:eastAsia="仿宋_GB2312" w:cs="仿宋_GB2312"/>
                <w:color w:val="000000"/>
                <w:sz w:val="24"/>
              </w:rPr>
              <w:t>中心主任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君山区财政局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左  明</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财政事务中心主任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君山区财政局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财政部门归口业务股室负责人（签章）：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w:t>
      </w:r>
      <w:r>
        <w:rPr>
          <w:rFonts w:hint="eastAsia" w:ascii="仿宋_GB2312" w:hAnsi="仿宋_GB2312" w:eastAsia="仿宋_GB2312" w:cs="仿宋_GB2312"/>
          <w:color w:val="000000"/>
          <w:sz w:val="24"/>
        </w:rPr>
        <w:t>冯慧</w:t>
      </w:r>
      <w:r>
        <w:rPr>
          <w:rFonts w:hint="eastAsia" w:eastAsia="仿宋_GB2312" w:cs="仿宋_GB2312"/>
          <w:bCs/>
          <w:sz w:val="28"/>
          <w:szCs w:val="28"/>
        </w:rPr>
        <w:t xml:space="preserve">                  联系电话：18274069188</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2"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600" w:lineRule="exact"/>
              <w:ind w:firstLine="643" w:firstLineChars="201"/>
              <w:rPr>
                <w:rFonts w:ascii="华文仿宋" w:hAnsi="华文仿宋" w:eastAsia="华文仿宋"/>
                <w:sz w:val="32"/>
                <w:szCs w:val="32"/>
              </w:rPr>
            </w:pPr>
            <w:r>
              <w:rPr>
                <w:rFonts w:hint="eastAsia" w:ascii="华文仿宋" w:hAnsi="华文仿宋" w:eastAsia="华文仿宋"/>
                <w:sz w:val="32"/>
                <w:szCs w:val="32"/>
              </w:rPr>
              <w:t>根据《岳阳市君山区财政局关于开展2021年度财政支出绩效自评工作的通知》（岳君财[2022]39号）要求，现对君山区财政局2021年度部门整体支出开展绩效自评，现将情况汇报如下：</w:t>
            </w:r>
          </w:p>
          <w:p>
            <w:pPr>
              <w:spacing w:line="600" w:lineRule="exact"/>
              <w:ind w:firstLine="644" w:firstLineChars="201"/>
              <w:rPr>
                <w:rFonts w:ascii="华文仿宋" w:hAnsi="华文仿宋" w:eastAsia="华文仿宋"/>
                <w:b/>
                <w:sz w:val="32"/>
                <w:szCs w:val="32"/>
              </w:rPr>
            </w:pPr>
            <w:r>
              <w:rPr>
                <w:rFonts w:hint="eastAsia" w:ascii="华文仿宋" w:hAnsi="华文仿宋" w:eastAsia="华文仿宋"/>
                <w:b/>
                <w:sz w:val="32"/>
                <w:szCs w:val="32"/>
              </w:rPr>
              <w:t>一、部门（单位）概况</w:t>
            </w:r>
          </w:p>
          <w:p>
            <w:pPr>
              <w:spacing w:line="600" w:lineRule="exact"/>
              <w:ind w:firstLine="643" w:firstLineChars="201"/>
              <w:rPr>
                <w:rFonts w:ascii="华文仿宋" w:hAnsi="华文仿宋" w:eastAsia="华文仿宋"/>
                <w:sz w:val="32"/>
                <w:szCs w:val="32"/>
              </w:rPr>
            </w:pPr>
            <w:r>
              <w:rPr>
                <w:rFonts w:hint="eastAsia" w:ascii="华文仿宋" w:hAnsi="华文仿宋" w:eastAsia="华文仿宋"/>
                <w:sz w:val="32"/>
                <w:szCs w:val="32"/>
              </w:rPr>
              <w:t>（一）部门（单位）基本情况</w:t>
            </w:r>
          </w:p>
          <w:p>
            <w:pPr>
              <w:spacing w:line="600" w:lineRule="exact"/>
              <w:ind w:firstLine="643" w:firstLineChars="201"/>
              <w:rPr>
                <w:rFonts w:ascii="华文仿宋" w:hAnsi="华文仿宋" w:eastAsia="华文仿宋"/>
                <w:sz w:val="32"/>
                <w:szCs w:val="32"/>
              </w:rPr>
            </w:pPr>
            <w:r>
              <w:rPr>
                <w:rFonts w:hint="eastAsia" w:ascii="华文仿宋" w:hAnsi="华文仿宋" w:eastAsia="华文仿宋"/>
                <w:sz w:val="32"/>
                <w:szCs w:val="32"/>
              </w:rPr>
              <w:t>1、机构设置。君山区财政局是君山区政府职能组成部门，全额预算拨款单位。2021年编制部门核实人员编制</w:t>
            </w:r>
            <w:r>
              <w:rPr>
                <w:rFonts w:hint="eastAsia" w:ascii="华文仿宋" w:hAnsi="华文仿宋" w:eastAsia="华文仿宋"/>
                <w:color w:val="auto"/>
                <w:sz w:val="32"/>
                <w:szCs w:val="32"/>
              </w:rPr>
              <w:t>78</w:t>
            </w:r>
            <w:r>
              <w:rPr>
                <w:rFonts w:hint="eastAsia" w:ascii="华文仿宋" w:hAnsi="华文仿宋" w:eastAsia="华文仿宋"/>
                <w:sz w:val="32"/>
                <w:szCs w:val="32"/>
              </w:rPr>
              <w:t>人，实有人数</w:t>
            </w:r>
            <w:r>
              <w:rPr>
                <w:rFonts w:hint="eastAsia" w:ascii="华文仿宋" w:hAnsi="华文仿宋" w:eastAsia="华文仿宋"/>
                <w:color w:val="auto"/>
                <w:sz w:val="32"/>
                <w:szCs w:val="32"/>
                <w:lang w:val="en-US" w:eastAsia="zh-CN"/>
              </w:rPr>
              <w:t>68</w:t>
            </w:r>
            <w:r>
              <w:rPr>
                <w:rFonts w:hint="eastAsia" w:ascii="华文仿宋" w:hAnsi="华文仿宋" w:eastAsia="华文仿宋"/>
                <w:sz w:val="32"/>
                <w:szCs w:val="32"/>
              </w:rPr>
              <w:t>人。内设机构有3个，国库集中支付中心、乡镇财政</w:t>
            </w:r>
            <w:r>
              <w:rPr>
                <w:rFonts w:hint="eastAsia" w:ascii="华文仿宋" w:hAnsi="华文仿宋" w:eastAsia="华文仿宋"/>
                <w:sz w:val="32"/>
                <w:szCs w:val="32"/>
                <w:lang w:eastAsia="zh-CN"/>
              </w:rPr>
              <w:t>服务</w:t>
            </w:r>
            <w:r>
              <w:rPr>
                <w:rFonts w:hint="eastAsia" w:ascii="华文仿宋" w:hAnsi="华文仿宋" w:eastAsia="华文仿宋"/>
                <w:sz w:val="32"/>
                <w:szCs w:val="32"/>
              </w:rPr>
              <w:t>中心、财政事务中心，另有预算股、国库股</w:t>
            </w:r>
            <w:r>
              <w:rPr>
                <w:rFonts w:hint="eastAsia" w:ascii="华文仿宋" w:hAnsi="华文仿宋" w:eastAsia="华文仿宋"/>
                <w:sz w:val="32"/>
                <w:szCs w:val="32"/>
                <w:lang w:eastAsia="zh-CN"/>
              </w:rPr>
              <w:t>、农业股、经建股、社保股</w:t>
            </w:r>
            <w:r>
              <w:rPr>
                <w:rFonts w:hint="eastAsia" w:ascii="华文仿宋" w:hAnsi="华文仿宋" w:eastAsia="华文仿宋"/>
                <w:sz w:val="32"/>
                <w:szCs w:val="32"/>
              </w:rPr>
              <w:t>等</w:t>
            </w:r>
            <w:r>
              <w:rPr>
                <w:rFonts w:hint="eastAsia" w:ascii="华文仿宋" w:hAnsi="华文仿宋" w:eastAsia="华文仿宋"/>
                <w:color w:val="auto"/>
                <w:sz w:val="32"/>
                <w:szCs w:val="32"/>
              </w:rPr>
              <w:t>18</w:t>
            </w:r>
            <w:r>
              <w:rPr>
                <w:rFonts w:hint="eastAsia" w:ascii="华文仿宋" w:hAnsi="华文仿宋" w:eastAsia="华文仿宋"/>
                <w:sz w:val="32"/>
                <w:szCs w:val="32"/>
              </w:rPr>
              <w:t>个业务股室。</w:t>
            </w:r>
          </w:p>
          <w:p>
            <w:pPr>
              <w:spacing w:line="600" w:lineRule="exact"/>
              <w:ind w:firstLine="643" w:firstLineChars="201"/>
              <w:rPr>
                <w:rFonts w:ascii="华文仿宋" w:hAnsi="华文仿宋" w:eastAsia="华文仿宋"/>
                <w:sz w:val="32"/>
                <w:szCs w:val="32"/>
              </w:rPr>
            </w:pPr>
            <w:r>
              <w:rPr>
                <w:rFonts w:hint="eastAsia" w:ascii="华文仿宋" w:hAnsi="华文仿宋" w:eastAsia="华文仿宋"/>
                <w:sz w:val="32"/>
                <w:szCs w:val="32"/>
              </w:rPr>
              <w:t>2、主要职能。君山区财政局执行本级人民代表大会决议和上级行政机关的决定和命令，落实国家政策，严格依法行政；执行本区域内的经济和社会发展计划、预算、管理本区域内的经济、教育、科学、文化、体育事业和财政、民政、司法行政、计划生育等行政工作，发展乡村经济、文化和社会事业，提供公共服务。</w:t>
            </w:r>
          </w:p>
          <w:p>
            <w:pPr>
              <w:spacing w:line="600" w:lineRule="exact"/>
              <w:ind w:firstLine="643" w:firstLineChars="201"/>
              <w:rPr>
                <w:rFonts w:ascii="华文仿宋" w:hAnsi="华文仿宋" w:eastAsia="华文仿宋"/>
                <w:sz w:val="32"/>
                <w:szCs w:val="32"/>
              </w:rPr>
            </w:pPr>
            <w:r>
              <w:rPr>
                <w:rFonts w:hint="eastAsia" w:ascii="华文仿宋" w:hAnsi="华文仿宋" w:eastAsia="华文仿宋"/>
                <w:sz w:val="32"/>
                <w:szCs w:val="32"/>
              </w:rPr>
              <w:t>（二）部门（单位）整体支出规模、使用方向和主要内容、涉及范围等</w:t>
            </w:r>
          </w:p>
          <w:p>
            <w:pPr>
              <w:spacing w:line="600" w:lineRule="exact"/>
              <w:ind w:firstLine="643" w:firstLineChars="201"/>
              <w:rPr>
                <w:rFonts w:ascii="华文仿宋" w:hAnsi="华文仿宋" w:eastAsia="华文仿宋"/>
                <w:sz w:val="32"/>
                <w:szCs w:val="32"/>
              </w:rPr>
            </w:pPr>
            <w:r>
              <w:rPr>
                <w:rFonts w:hint="eastAsia" w:ascii="华文仿宋" w:hAnsi="华文仿宋" w:eastAsia="华文仿宋"/>
                <w:sz w:val="32"/>
                <w:szCs w:val="32"/>
              </w:rPr>
              <w:t>2021年我局全年收入总计2024.76万元。其中公共财政拨款2024.76万元。</w:t>
            </w:r>
          </w:p>
          <w:p>
            <w:pPr>
              <w:tabs>
                <w:tab w:val="left" w:pos="4364"/>
              </w:tabs>
              <w:spacing w:line="600" w:lineRule="exact"/>
              <w:ind w:firstLine="643" w:firstLineChars="201"/>
              <w:rPr>
                <w:rFonts w:ascii="华文仿宋" w:hAnsi="华文仿宋" w:eastAsia="华文仿宋"/>
                <w:sz w:val="32"/>
                <w:szCs w:val="32"/>
              </w:rPr>
            </w:pPr>
            <w:r>
              <w:rPr>
                <w:rFonts w:hint="eastAsia" w:ascii="华文仿宋" w:hAnsi="华文仿宋" w:eastAsia="华文仿宋"/>
                <w:sz w:val="32"/>
                <w:szCs w:val="32"/>
              </w:rPr>
              <w:t>2021年我局全年支出总计</w:t>
            </w:r>
            <w:r>
              <w:rPr>
                <w:rFonts w:ascii="华文仿宋" w:hAnsi="华文仿宋" w:eastAsia="华文仿宋"/>
                <w:sz w:val="32"/>
                <w:szCs w:val="32"/>
              </w:rPr>
              <w:tab/>
            </w:r>
            <w:r>
              <w:rPr>
                <w:rFonts w:hint="eastAsia" w:ascii="华文仿宋" w:hAnsi="华文仿宋" w:eastAsia="华文仿宋"/>
                <w:sz w:val="32"/>
                <w:szCs w:val="32"/>
              </w:rPr>
              <w:t>2024.76万元，其中一般公共服务支出1700.42万元，主要用于保障日常运转发生的基本支出；社会保障和就业支出171.741万元；卫生健康支出37.69万元；城乡社区支出29.9万元；</w:t>
            </w:r>
            <w:r>
              <w:rPr>
                <w:rFonts w:hint="eastAsia" w:ascii="华文仿宋" w:hAnsi="华文仿宋" w:eastAsia="华文仿宋"/>
                <w:sz w:val="32"/>
                <w:szCs w:val="32"/>
                <w:lang w:eastAsia="zh-CN"/>
              </w:rPr>
              <w:t>农林水</w:t>
            </w:r>
            <w:r>
              <w:rPr>
                <w:rFonts w:hint="eastAsia" w:ascii="华文仿宋" w:hAnsi="华文仿宋" w:eastAsia="华文仿宋"/>
                <w:sz w:val="32"/>
                <w:szCs w:val="32"/>
              </w:rPr>
              <w:t>支出2</w:t>
            </w:r>
            <w:r>
              <w:rPr>
                <w:rFonts w:hint="eastAsia" w:ascii="华文仿宋" w:hAnsi="华文仿宋" w:eastAsia="华文仿宋"/>
                <w:sz w:val="32"/>
                <w:szCs w:val="32"/>
                <w:lang w:val="en-US" w:eastAsia="zh-CN"/>
              </w:rPr>
              <w:t>3.81</w:t>
            </w:r>
            <w:r>
              <w:rPr>
                <w:rFonts w:hint="eastAsia" w:ascii="华文仿宋" w:hAnsi="华文仿宋" w:eastAsia="华文仿宋"/>
                <w:sz w:val="32"/>
                <w:szCs w:val="32"/>
              </w:rPr>
              <w:t>万元；住房保障支出58.2万元。</w:t>
            </w:r>
          </w:p>
          <w:p>
            <w:pPr>
              <w:tabs>
                <w:tab w:val="left" w:pos="4364"/>
              </w:tabs>
              <w:spacing w:line="600" w:lineRule="exact"/>
              <w:ind w:firstLine="644" w:firstLineChars="201"/>
              <w:rPr>
                <w:rFonts w:ascii="华文仿宋" w:hAnsi="华文仿宋" w:eastAsia="华文仿宋"/>
                <w:b/>
                <w:sz w:val="32"/>
                <w:szCs w:val="32"/>
              </w:rPr>
            </w:pPr>
            <w:r>
              <w:rPr>
                <w:rFonts w:hint="eastAsia" w:ascii="华文仿宋" w:hAnsi="华文仿宋" w:eastAsia="华文仿宋"/>
                <w:b/>
                <w:sz w:val="32"/>
                <w:szCs w:val="32"/>
              </w:rPr>
              <w:t>二、部门（单位）整体支出管理及使用情况</w:t>
            </w:r>
          </w:p>
          <w:p>
            <w:pPr>
              <w:tabs>
                <w:tab w:val="left" w:pos="4364"/>
              </w:tabs>
              <w:spacing w:line="600" w:lineRule="exact"/>
              <w:ind w:firstLine="644" w:firstLineChars="201"/>
              <w:rPr>
                <w:rFonts w:ascii="华文仿宋" w:hAnsi="华文仿宋" w:eastAsia="华文仿宋"/>
                <w:sz w:val="32"/>
                <w:szCs w:val="32"/>
              </w:rPr>
            </w:pPr>
            <w:r>
              <w:rPr>
                <w:rFonts w:hint="eastAsia" w:ascii="华文仿宋" w:hAnsi="华文仿宋" w:eastAsia="华文仿宋"/>
                <w:b/>
                <w:sz w:val="32"/>
                <w:szCs w:val="32"/>
              </w:rPr>
              <w:t>（</w:t>
            </w:r>
            <w:r>
              <w:rPr>
                <w:rFonts w:hint="eastAsia" w:ascii="华文仿宋" w:hAnsi="华文仿宋" w:eastAsia="华文仿宋"/>
                <w:sz w:val="32"/>
                <w:szCs w:val="32"/>
              </w:rPr>
              <w:t>一）整体支出管理情况</w:t>
            </w:r>
          </w:p>
          <w:p>
            <w:pPr>
              <w:tabs>
                <w:tab w:val="left" w:pos="4364"/>
              </w:tabs>
              <w:spacing w:line="600" w:lineRule="exact"/>
              <w:ind w:firstLine="643" w:firstLineChars="201"/>
              <w:rPr>
                <w:rFonts w:ascii="华文仿宋" w:hAnsi="华文仿宋" w:eastAsia="华文仿宋"/>
                <w:sz w:val="32"/>
                <w:szCs w:val="32"/>
              </w:rPr>
            </w:pPr>
            <w:r>
              <w:rPr>
                <w:rFonts w:hint="eastAsia" w:ascii="华文仿宋" w:hAnsi="华文仿宋" w:eastAsia="华文仿宋"/>
                <w:sz w:val="32"/>
                <w:szCs w:val="32"/>
              </w:rPr>
              <w:t>君山区财政局根据《会计法》、《预算法》、《政府会计准则》、《政府会计制度》等法律法规和省财政厅及市财政局有关财务规章的规定，制定了君山区财政局机关财务管理办法，明确了经费审批权限入程序，预算编制与管理、财务管理、资产配置与处置、财务监督、公务接待管理等制度。明确了相应的原则和要求，全面、严格执行上述制度。</w:t>
            </w:r>
          </w:p>
          <w:p>
            <w:pPr>
              <w:tabs>
                <w:tab w:val="left" w:pos="4364"/>
              </w:tabs>
              <w:spacing w:line="600" w:lineRule="exact"/>
              <w:ind w:firstLine="644" w:firstLineChars="201"/>
              <w:rPr>
                <w:rFonts w:ascii="华文仿宋" w:hAnsi="华文仿宋" w:eastAsia="华文仿宋"/>
                <w:b/>
                <w:sz w:val="32"/>
                <w:szCs w:val="32"/>
              </w:rPr>
            </w:pPr>
            <w:r>
              <w:rPr>
                <w:rFonts w:hint="eastAsia" w:ascii="华文仿宋" w:hAnsi="华文仿宋" w:eastAsia="华文仿宋"/>
                <w:b/>
                <w:sz w:val="32"/>
                <w:szCs w:val="32"/>
              </w:rPr>
              <w:t>（二）整体支出使用情况</w:t>
            </w:r>
          </w:p>
          <w:p>
            <w:pPr>
              <w:tabs>
                <w:tab w:val="left" w:pos="4364"/>
              </w:tabs>
              <w:spacing w:line="600" w:lineRule="exact"/>
              <w:ind w:firstLine="643" w:firstLineChars="201"/>
              <w:rPr>
                <w:rFonts w:ascii="华文仿宋" w:hAnsi="华文仿宋" w:eastAsia="华文仿宋"/>
                <w:sz w:val="32"/>
                <w:szCs w:val="32"/>
              </w:rPr>
            </w:pPr>
            <w:r>
              <w:rPr>
                <w:rFonts w:hint="eastAsia" w:ascii="华文仿宋" w:hAnsi="华文仿宋" w:eastAsia="华文仿宋"/>
                <w:sz w:val="32"/>
                <w:szCs w:val="32"/>
              </w:rPr>
              <w:t>1、基本支出</w:t>
            </w:r>
          </w:p>
          <w:p>
            <w:pPr>
              <w:tabs>
                <w:tab w:val="left" w:pos="4364"/>
              </w:tabs>
              <w:spacing w:line="600" w:lineRule="exact"/>
              <w:ind w:firstLine="643" w:firstLineChars="201"/>
              <w:rPr>
                <w:rFonts w:ascii="华文仿宋" w:hAnsi="华文仿宋" w:eastAsia="华文仿宋"/>
                <w:sz w:val="32"/>
                <w:szCs w:val="32"/>
              </w:rPr>
            </w:pPr>
            <w:r>
              <w:rPr>
                <w:rFonts w:hint="eastAsia" w:ascii="华文仿宋" w:hAnsi="华文仿宋" w:eastAsia="华文仿宋"/>
                <w:sz w:val="32"/>
                <w:szCs w:val="32"/>
              </w:rPr>
              <w:t>2021年我局全年基本支出1484.03万元。</w:t>
            </w:r>
            <w:r>
              <w:rPr>
                <w:rFonts w:hint="eastAsia" w:ascii="华文仿宋" w:hAnsi="华文仿宋" w:eastAsia="华文仿宋"/>
                <w:color w:val="auto"/>
                <w:sz w:val="32"/>
                <w:szCs w:val="32"/>
              </w:rPr>
              <w:t>其中人员支出</w:t>
            </w:r>
            <w:r>
              <w:rPr>
                <w:rFonts w:hint="eastAsia" w:ascii="华文仿宋" w:hAnsi="华文仿宋" w:eastAsia="华文仿宋"/>
                <w:color w:val="auto"/>
                <w:sz w:val="32"/>
                <w:szCs w:val="32"/>
                <w:lang w:val="en-US" w:eastAsia="zh-CN"/>
              </w:rPr>
              <w:t>1041.06</w:t>
            </w:r>
            <w:r>
              <w:rPr>
                <w:rFonts w:hint="eastAsia" w:ascii="华文仿宋" w:hAnsi="华文仿宋" w:eastAsia="华文仿宋"/>
                <w:color w:val="auto"/>
                <w:sz w:val="32"/>
                <w:szCs w:val="32"/>
              </w:rPr>
              <w:t>万元，主要包括：基本工资、津贴补贴、奖金、社会保障费、其他工资福利支出、退休费、生活补贴和住房公积金等；公用支出</w:t>
            </w:r>
            <w:r>
              <w:rPr>
                <w:rFonts w:hint="eastAsia" w:ascii="华文仿宋" w:hAnsi="华文仿宋" w:eastAsia="华文仿宋"/>
                <w:color w:val="auto"/>
                <w:sz w:val="32"/>
                <w:szCs w:val="32"/>
                <w:lang w:val="en-US" w:eastAsia="zh-CN"/>
              </w:rPr>
              <w:t>434.81</w:t>
            </w:r>
            <w:r>
              <w:rPr>
                <w:rFonts w:hint="eastAsia" w:ascii="华文仿宋" w:hAnsi="华文仿宋" w:eastAsia="华文仿宋"/>
                <w:color w:val="auto"/>
                <w:sz w:val="32"/>
                <w:szCs w:val="32"/>
              </w:rPr>
              <w:t>万元，</w:t>
            </w:r>
            <w:r>
              <w:rPr>
                <w:rFonts w:hint="eastAsia" w:ascii="华文仿宋" w:hAnsi="华文仿宋" w:eastAsia="华文仿宋"/>
                <w:sz w:val="32"/>
                <w:szCs w:val="32"/>
              </w:rPr>
              <w:t>主要包括：办公费、电费、差旅费、公务接待费、劳务费以及其他商品和服务支出等。</w:t>
            </w:r>
          </w:p>
          <w:p>
            <w:pPr>
              <w:tabs>
                <w:tab w:val="left" w:pos="4364"/>
              </w:tabs>
              <w:spacing w:line="600" w:lineRule="exact"/>
              <w:ind w:firstLine="643" w:firstLineChars="201"/>
              <w:rPr>
                <w:rFonts w:ascii="华文仿宋" w:hAnsi="华文仿宋" w:eastAsia="华文仿宋"/>
                <w:sz w:val="32"/>
                <w:szCs w:val="32"/>
              </w:rPr>
            </w:pPr>
            <w:r>
              <w:rPr>
                <w:rFonts w:hint="eastAsia" w:ascii="华文仿宋" w:hAnsi="华文仿宋" w:eastAsia="华文仿宋"/>
                <w:sz w:val="32"/>
                <w:szCs w:val="32"/>
              </w:rPr>
              <w:t>2、“三公”经费支出情况</w:t>
            </w:r>
          </w:p>
          <w:p>
            <w:pPr>
              <w:spacing w:line="600" w:lineRule="exact"/>
              <w:ind w:firstLine="643" w:firstLineChars="201"/>
              <w:rPr>
                <w:rFonts w:ascii="华文仿宋" w:hAnsi="华文仿宋" w:eastAsia="华文仿宋"/>
                <w:sz w:val="32"/>
                <w:szCs w:val="32"/>
              </w:rPr>
            </w:pPr>
            <w:r>
              <w:rPr>
                <w:rFonts w:hint="eastAsia" w:ascii="华文仿宋" w:hAnsi="华文仿宋" w:eastAsia="华文仿宋"/>
                <w:sz w:val="32"/>
                <w:szCs w:val="32"/>
              </w:rPr>
              <w:t>2021年我局三公经费实际支出1</w:t>
            </w:r>
            <w:r>
              <w:rPr>
                <w:rFonts w:hint="eastAsia" w:ascii="华文仿宋" w:hAnsi="华文仿宋" w:eastAsia="华文仿宋"/>
                <w:sz w:val="32"/>
                <w:szCs w:val="32"/>
                <w:lang w:val="en-US" w:eastAsia="zh-CN"/>
              </w:rPr>
              <w:t>4</w:t>
            </w:r>
            <w:r>
              <w:rPr>
                <w:rFonts w:hint="eastAsia" w:ascii="华文仿宋" w:hAnsi="华文仿宋" w:eastAsia="华文仿宋"/>
                <w:sz w:val="32"/>
                <w:szCs w:val="32"/>
              </w:rPr>
              <w:t>万元：其中公务接待费1</w:t>
            </w:r>
            <w:r>
              <w:rPr>
                <w:rFonts w:hint="eastAsia" w:ascii="华文仿宋" w:hAnsi="华文仿宋" w:eastAsia="华文仿宋"/>
                <w:sz w:val="32"/>
                <w:szCs w:val="32"/>
                <w:lang w:val="en-US" w:eastAsia="zh-CN"/>
              </w:rPr>
              <w:t>3</w:t>
            </w:r>
            <w:r>
              <w:rPr>
                <w:rFonts w:hint="eastAsia" w:ascii="华文仿宋" w:hAnsi="华文仿宋" w:eastAsia="华文仿宋"/>
                <w:sz w:val="32"/>
                <w:szCs w:val="32"/>
              </w:rPr>
              <w:t>万元，其他交通费用</w:t>
            </w:r>
            <w:r>
              <w:rPr>
                <w:rFonts w:hint="eastAsia" w:ascii="华文仿宋" w:hAnsi="华文仿宋" w:eastAsia="华文仿宋"/>
                <w:sz w:val="32"/>
                <w:szCs w:val="32"/>
                <w:lang w:val="en-US" w:eastAsia="zh-CN"/>
              </w:rPr>
              <w:t>1</w:t>
            </w:r>
            <w:r>
              <w:rPr>
                <w:rFonts w:hint="eastAsia" w:ascii="华文仿宋" w:hAnsi="华文仿宋" w:eastAsia="华文仿宋"/>
                <w:sz w:val="32"/>
                <w:szCs w:val="32"/>
              </w:rPr>
              <w:t>万元。</w:t>
            </w:r>
          </w:p>
          <w:p>
            <w:pPr>
              <w:tabs>
                <w:tab w:val="left" w:pos="4364"/>
              </w:tabs>
              <w:spacing w:line="600" w:lineRule="exact"/>
              <w:ind w:firstLine="643" w:firstLineChars="201"/>
              <w:rPr>
                <w:rFonts w:ascii="华文仿宋" w:hAnsi="华文仿宋" w:eastAsia="华文仿宋"/>
                <w:sz w:val="32"/>
                <w:szCs w:val="32"/>
              </w:rPr>
            </w:pPr>
            <w:r>
              <w:rPr>
                <w:rFonts w:hint="eastAsia" w:ascii="华文仿宋" w:hAnsi="华文仿宋" w:eastAsia="华文仿宋"/>
                <w:sz w:val="32"/>
                <w:szCs w:val="32"/>
              </w:rPr>
              <w:t>3、专项支出</w:t>
            </w:r>
          </w:p>
          <w:p>
            <w:pPr>
              <w:tabs>
                <w:tab w:val="left" w:pos="4364"/>
              </w:tabs>
              <w:spacing w:line="600" w:lineRule="exact"/>
              <w:ind w:firstLine="643" w:firstLineChars="201"/>
              <w:rPr>
                <w:rFonts w:ascii="华文仿宋" w:hAnsi="华文仿宋" w:eastAsia="华文仿宋"/>
                <w:color w:val="auto"/>
                <w:sz w:val="32"/>
                <w:szCs w:val="32"/>
              </w:rPr>
            </w:pPr>
            <w:r>
              <w:rPr>
                <w:rFonts w:hint="eastAsia" w:ascii="华文仿宋" w:hAnsi="华文仿宋" w:eastAsia="华文仿宋"/>
                <w:sz w:val="32"/>
                <w:szCs w:val="32"/>
              </w:rPr>
              <w:t>项目支出是在基本支出之外为完成其特定工作任务而发生的支出，</w:t>
            </w:r>
            <w:r>
              <w:rPr>
                <w:rFonts w:hint="eastAsia" w:ascii="华文仿宋" w:hAnsi="华文仿宋" w:eastAsia="华文仿宋"/>
                <w:color w:val="auto"/>
                <w:sz w:val="32"/>
                <w:szCs w:val="32"/>
              </w:rPr>
              <w:t>主要用于国库集中支付改革信息化建设</w:t>
            </w:r>
            <w:r>
              <w:rPr>
                <w:rFonts w:hint="eastAsia" w:ascii="华文仿宋" w:hAnsi="华文仿宋" w:eastAsia="华文仿宋"/>
                <w:color w:val="auto"/>
                <w:sz w:val="32"/>
                <w:szCs w:val="32"/>
                <w:lang w:eastAsia="zh-CN"/>
              </w:rPr>
              <w:t>、预算一体化建设配套</w:t>
            </w:r>
            <w:r>
              <w:rPr>
                <w:rFonts w:hint="eastAsia" w:ascii="华文仿宋" w:hAnsi="华文仿宋" w:eastAsia="华文仿宋"/>
                <w:color w:val="auto"/>
                <w:sz w:val="32"/>
                <w:szCs w:val="32"/>
              </w:rPr>
              <w:t>、</w:t>
            </w:r>
            <w:r>
              <w:rPr>
                <w:rFonts w:hint="eastAsia" w:ascii="华文仿宋" w:hAnsi="华文仿宋" w:eastAsia="华文仿宋"/>
                <w:color w:val="auto"/>
                <w:sz w:val="32"/>
                <w:szCs w:val="32"/>
                <w:lang w:eastAsia="zh-CN"/>
              </w:rPr>
              <w:t>乡镇财政建设及考核、</w:t>
            </w:r>
            <w:r>
              <w:rPr>
                <w:rFonts w:hint="eastAsia" w:ascii="华文仿宋" w:hAnsi="华文仿宋" w:eastAsia="华文仿宋"/>
                <w:color w:val="auto"/>
                <w:sz w:val="32"/>
                <w:szCs w:val="32"/>
              </w:rPr>
              <w:t>财政投资评审经费、非税征管、国资管理及运行维护等专项支出。</w:t>
            </w:r>
          </w:p>
          <w:p>
            <w:pPr>
              <w:tabs>
                <w:tab w:val="left" w:pos="4364"/>
              </w:tabs>
              <w:spacing w:line="600" w:lineRule="exact"/>
              <w:ind w:firstLine="643" w:firstLineChars="201"/>
              <w:rPr>
                <w:rFonts w:ascii="华文仿宋" w:hAnsi="华文仿宋" w:eastAsia="华文仿宋"/>
                <w:sz w:val="32"/>
                <w:szCs w:val="32"/>
              </w:rPr>
            </w:pPr>
            <w:r>
              <w:rPr>
                <w:rFonts w:hint="eastAsia" w:ascii="华文仿宋" w:hAnsi="华文仿宋" w:eastAsia="华文仿宋"/>
                <w:sz w:val="32"/>
                <w:szCs w:val="32"/>
              </w:rPr>
              <w:t>（1）、专项资金安排落实、总投入等情况分析</w:t>
            </w:r>
          </w:p>
          <w:p>
            <w:pPr>
              <w:tabs>
                <w:tab w:val="left" w:pos="4364"/>
              </w:tabs>
              <w:spacing w:line="600" w:lineRule="exact"/>
              <w:ind w:firstLine="643" w:firstLineChars="201"/>
              <w:rPr>
                <w:rFonts w:ascii="华文仿宋" w:hAnsi="华文仿宋" w:eastAsia="华文仿宋"/>
                <w:color w:val="auto"/>
                <w:sz w:val="32"/>
                <w:szCs w:val="32"/>
              </w:rPr>
            </w:pPr>
            <w:r>
              <w:rPr>
                <w:rFonts w:hint="eastAsia" w:ascii="华文仿宋" w:hAnsi="华文仿宋" w:eastAsia="华文仿宋"/>
                <w:sz w:val="32"/>
                <w:szCs w:val="32"/>
              </w:rPr>
              <w:t>2021年我局项目支出为540</w:t>
            </w:r>
            <w:r>
              <w:rPr>
                <w:rFonts w:hint="eastAsia" w:ascii="华文仿宋" w:hAnsi="华文仿宋" w:eastAsia="华文仿宋"/>
                <w:sz w:val="32"/>
                <w:szCs w:val="32"/>
                <w:lang w:val="en-US" w:eastAsia="zh-CN"/>
              </w:rPr>
              <w:t>.</w:t>
            </w:r>
            <w:r>
              <w:rPr>
                <w:rFonts w:hint="eastAsia" w:ascii="华文仿宋" w:hAnsi="华文仿宋" w:eastAsia="华文仿宋"/>
                <w:sz w:val="32"/>
                <w:szCs w:val="32"/>
              </w:rPr>
              <w:t>73万元，</w:t>
            </w:r>
            <w:r>
              <w:rPr>
                <w:rFonts w:hint="eastAsia" w:ascii="华文仿宋" w:hAnsi="华文仿宋" w:eastAsia="华文仿宋"/>
                <w:color w:val="auto"/>
                <w:sz w:val="32"/>
                <w:szCs w:val="32"/>
              </w:rPr>
              <w:t>其中国库集中支付业务经费及信息化建设</w:t>
            </w:r>
            <w:r>
              <w:rPr>
                <w:rFonts w:hint="eastAsia" w:ascii="华文仿宋" w:hAnsi="华文仿宋" w:eastAsia="华文仿宋"/>
                <w:color w:val="auto"/>
                <w:sz w:val="32"/>
                <w:szCs w:val="32"/>
                <w:lang w:val="en-US" w:eastAsia="zh-CN"/>
              </w:rPr>
              <w:t>388.15</w:t>
            </w:r>
            <w:r>
              <w:rPr>
                <w:rFonts w:hint="eastAsia" w:ascii="华文仿宋" w:hAnsi="华文仿宋" w:eastAsia="华文仿宋"/>
                <w:color w:val="auto"/>
                <w:sz w:val="32"/>
                <w:szCs w:val="32"/>
              </w:rPr>
              <w:t>万元，</w:t>
            </w:r>
            <w:r>
              <w:rPr>
                <w:rFonts w:hint="eastAsia" w:ascii="华文仿宋" w:hAnsi="华文仿宋" w:eastAsia="华文仿宋"/>
                <w:color w:val="auto"/>
                <w:sz w:val="32"/>
                <w:szCs w:val="32"/>
                <w:lang w:eastAsia="zh-CN"/>
              </w:rPr>
              <w:t>乡镇财政建设</w:t>
            </w:r>
            <w:r>
              <w:rPr>
                <w:rFonts w:hint="eastAsia" w:ascii="华文仿宋" w:hAnsi="华文仿宋" w:eastAsia="华文仿宋"/>
                <w:color w:val="auto"/>
                <w:sz w:val="32"/>
                <w:szCs w:val="32"/>
                <w:lang w:val="en-US" w:eastAsia="zh-CN"/>
              </w:rPr>
              <w:t>及</w:t>
            </w:r>
            <w:r>
              <w:rPr>
                <w:rFonts w:hint="eastAsia" w:ascii="华文仿宋" w:hAnsi="华文仿宋" w:eastAsia="华文仿宋"/>
                <w:color w:val="auto"/>
                <w:sz w:val="32"/>
                <w:szCs w:val="32"/>
                <w:lang w:eastAsia="zh-CN"/>
              </w:rPr>
              <w:t>考核</w:t>
            </w:r>
            <w:r>
              <w:rPr>
                <w:rFonts w:hint="eastAsia" w:ascii="华文仿宋" w:hAnsi="华文仿宋" w:eastAsia="华文仿宋"/>
                <w:color w:val="auto"/>
                <w:sz w:val="32"/>
                <w:szCs w:val="32"/>
                <w:lang w:val="en-US" w:eastAsia="zh-CN"/>
              </w:rPr>
              <w:t xml:space="preserve">18.95 </w:t>
            </w:r>
            <w:r>
              <w:rPr>
                <w:rFonts w:hint="eastAsia" w:ascii="华文仿宋" w:hAnsi="华文仿宋" w:eastAsia="华文仿宋"/>
                <w:color w:val="auto"/>
                <w:sz w:val="32"/>
                <w:szCs w:val="32"/>
              </w:rPr>
              <w:t>万元</w:t>
            </w:r>
            <w:r>
              <w:rPr>
                <w:rFonts w:hint="eastAsia" w:ascii="华文仿宋" w:hAnsi="华文仿宋" w:eastAsia="华文仿宋"/>
                <w:color w:val="auto"/>
                <w:sz w:val="32"/>
                <w:szCs w:val="32"/>
                <w:lang w:eastAsia="zh-CN"/>
              </w:rPr>
              <w:t>、</w:t>
            </w:r>
            <w:r>
              <w:rPr>
                <w:rFonts w:hint="eastAsia" w:ascii="华文仿宋" w:hAnsi="华文仿宋" w:eastAsia="华文仿宋"/>
                <w:color w:val="auto"/>
                <w:sz w:val="32"/>
                <w:szCs w:val="32"/>
              </w:rPr>
              <w:t>国有资产管理</w:t>
            </w:r>
            <w:r>
              <w:rPr>
                <w:rFonts w:hint="eastAsia" w:ascii="华文仿宋" w:hAnsi="华文仿宋" w:eastAsia="华文仿宋"/>
                <w:color w:val="auto"/>
                <w:sz w:val="32"/>
                <w:szCs w:val="32"/>
                <w:lang w:val="en-US" w:eastAsia="zh-CN"/>
              </w:rPr>
              <w:t>1.3</w:t>
            </w:r>
            <w:r>
              <w:rPr>
                <w:rFonts w:hint="eastAsia" w:ascii="华文仿宋" w:hAnsi="华文仿宋" w:eastAsia="华文仿宋"/>
                <w:color w:val="auto"/>
                <w:sz w:val="32"/>
                <w:szCs w:val="32"/>
              </w:rPr>
              <w:t>万元，财政投资评审中心经费</w:t>
            </w:r>
            <w:r>
              <w:rPr>
                <w:rFonts w:hint="eastAsia" w:ascii="华文仿宋" w:hAnsi="华文仿宋" w:eastAsia="华文仿宋"/>
                <w:color w:val="auto"/>
                <w:sz w:val="32"/>
                <w:szCs w:val="32"/>
                <w:lang w:eastAsia="zh-CN"/>
              </w:rPr>
              <w:t>及</w:t>
            </w:r>
            <w:r>
              <w:rPr>
                <w:rFonts w:hint="eastAsia" w:ascii="华文仿宋" w:hAnsi="华文仿宋" w:eastAsia="华文仿宋"/>
                <w:color w:val="auto"/>
                <w:sz w:val="32"/>
                <w:szCs w:val="32"/>
              </w:rPr>
              <w:t>其他一般行政管理事务专项</w:t>
            </w:r>
            <w:r>
              <w:rPr>
                <w:rFonts w:hint="eastAsia" w:ascii="华文仿宋" w:hAnsi="华文仿宋" w:eastAsia="华文仿宋"/>
                <w:color w:val="auto"/>
                <w:sz w:val="32"/>
                <w:szCs w:val="32"/>
                <w:lang w:val="en-US" w:eastAsia="zh-CN"/>
              </w:rPr>
              <w:t>132.32</w:t>
            </w:r>
            <w:r>
              <w:rPr>
                <w:rFonts w:hint="eastAsia" w:ascii="华文仿宋" w:hAnsi="华文仿宋" w:eastAsia="华文仿宋"/>
                <w:color w:val="auto"/>
                <w:sz w:val="32"/>
                <w:szCs w:val="32"/>
              </w:rPr>
              <w:t xml:space="preserve">万元。 </w:t>
            </w:r>
          </w:p>
          <w:p>
            <w:pPr>
              <w:tabs>
                <w:tab w:val="left" w:pos="4364"/>
              </w:tabs>
              <w:spacing w:line="600" w:lineRule="exact"/>
              <w:ind w:firstLine="643" w:firstLineChars="201"/>
              <w:rPr>
                <w:rFonts w:ascii="华文仿宋" w:hAnsi="华文仿宋" w:eastAsia="华文仿宋"/>
                <w:color w:val="auto"/>
                <w:sz w:val="32"/>
                <w:szCs w:val="32"/>
              </w:rPr>
            </w:pPr>
            <w:r>
              <w:rPr>
                <w:rFonts w:hint="eastAsia" w:ascii="华文仿宋" w:hAnsi="华文仿宋" w:eastAsia="华文仿宋"/>
                <w:color w:val="auto"/>
                <w:sz w:val="32"/>
                <w:szCs w:val="32"/>
              </w:rPr>
              <w:t>（2）、专项资金实际使用情况分析</w:t>
            </w:r>
          </w:p>
          <w:p>
            <w:pPr>
              <w:tabs>
                <w:tab w:val="left" w:pos="4364"/>
              </w:tabs>
              <w:spacing w:line="600" w:lineRule="exact"/>
              <w:ind w:firstLine="643" w:firstLineChars="201"/>
              <w:rPr>
                <w:rFonts w:ascii="华文仿宋" w:hAnsi="华文仿宋" w:eastAsia="华文仿宋"/>
                <w:color w:val="auto"/>
                <w:sz w:val="32"/>
                <w:szCs w:val="32"/>
              </w:rPr>
            </w:pPr>
            <w:r>
              <w:rPr>
                <w:rFonts w:hint="eastAsia" w:ascii="华文仿宋" w:hAnsi="华文仿宋" w:eastAsia="华文仿宋"/>
                <w:color w:val="auto"/>
                <w:sz w:val="32"/>
                <w:szCs w:val="32"/>
              </w:rPr>
              <w:t>2021年我局项目</w:t>
            </w:r>
            <w:r>
              <w:rPr>
                <w:rFonts w:hint="eastAsia" w:ascii="华文仿宋" w:hAnsi="华文仿宋" w:eastAsia="华文仿宋"/>
                <w:color w:val="auto"/>
                <w:sz w:val="32"/>
                <w:szCs w:val="32"/>
                <w:lang w:eastAsia="zh-CN"/>
              </w:rPr>
              <w:t>支出</w:t>
            </w:r>
            <w:r>
              <w:rPr>
                <w:rFonts w:hint="eastAsia" w:ascii="华文仿宋" w:hAnsi="华文仿宋" w:eastAsia="华文仿宋"/>
                <w:color w:val="auto"/>
                <w:sz w:val="32"/>
                <w:szCs w:val="32"/>
              </w:rPr>
              <w:t>预算</w:t>
            </w:r>
            <w:r>
              <w:rPr>
                <w:rFonts w:hint="eastAsia" w:ascii="华文仿宋" w:hAnsi="华文仿宋" w:eastAsia="华文仿宋"/>
                <w:color w:val="auto"/>
                <w:sz w:val="32"/>
                <w:szCs w:val="32"/>
                <w:lang w:val="en-US" w:eastAsia="zh-CN"/>
              </w:rPr>
              <w:t>540.73</w:t>
            </w:r>
            <w:r>
              <w:rPr>
                <w:rFonts w:hint="eastAsia" w:ascii="华文仿宋" w:hAnsi="华文仿宋" w:eastAsia="华文仿宋"/>
                <w:color w:val="auto"/>
                <w:sz w:val="32"/>
                <w:szCs w:val="32"/>
              </w:rPr>
              <w:t>万元，实际项目</w:t>
            </w:r>
            <w:r>
              <w:rPr>
                <w:rFonts w:hint="eastAsia" w:ascii="华文仿宋" w:hAnsi="华文仿宋" w:eastAsia="华文仿宋"/>
                <w:color w:val="auto"/>
                <w:sz w:val="32"/>
                <w:szCs w:val="32"/>
                <w:lang w:eastAsia="zh-CN"/>
              </w:rPr>
              <w:t>支出</w:t>
            </w:r>
            <w:r>
              <w:rPr>
                <w:rFonts w:hint="eastAsia" w:ascii="华文仿宋" w:hAnsi="华文仿宋" w:eastAsia="华文仿宋"/>
                <w:color w:val="auto"/>
                <w:sz w:val="32"/>
                <w:szCs w:val="32"/>
              </w:rPr>
              <w:t>支付使用540.73万元，主要用于信息化建设、国有资产管理、</w:t>
            </w:r>
            <w:r>
              <w:rPr>
                <w:rFonts w:hint="eastAsia" w:ascii="华文仿宋" w:hAnsi="华文仿宋" w:eastAsia="华文仿宋"/>
                <w:color w:val="auto"/>
                <w:sz w:val="32"/>
                <w:szCs w:val="32"/>
                <w:lang w:eastAsia="zh-CN"/>
              </w:rPr>
              <w:t>乡镇财政建设及考核、</w:t>
            </w:r>
            <w:r>
              <w:rPr>
                <w:rFonts w:hint="eastAsia" w:ascii="华文仿宋" w:hAnsi="华文仿宋" w:eastAsia="华文仿宋"/>
                <w:color w:val="auto"/>
                <w:sz w:val="32"/>
                <w:szCs w:val="32"/>
              </w:rPr>
              <w:t>财政投资评审经费</w:t>
            </w:r>
            <w:r>
              <w:rPr>
                <w:rFonts w:hint="eastAsia" w:ascii="华文仿宋" w:hAnsi="华文仿宋" w:eastAsia="华文仿宋"/>
                <w:color w:val="auto"/>
                <w:sz w:val="32"/>
                <w:szCs w:val="32"/>
                <w:lang w:eastAsia="zh-CN"/>
              </w:rPr>
              <w:t>及</w:t>
            </w:r>
            <w:r>
              <w:rPr>
                <w:rFonts w:hint="eastAsia" w:ascii="华文仿宋" w:hAnsi="华文仿宋" w:eastAsia="华文仿宋"/>
                <w:color w:val="auto"/>
                <w:sz w:val="32"/>
                <w:szCs w:val="32"/>
              </w:rPr>
              <w:t>其他一般行政管理事务等</w:t>
            </w:r>
            <w:r>
              <w:rPr>
                <w:rFonts w:hint="eastAsia" w:ascii="华文仿宋" w:hAnsi="华文仿宋" w:eastAsia="华文仿宋"/>
                <w:color w:val="auto"/>
                <w:sz w:val="32"/>
                <w:szCs w:val="32"/>
                <w:lang w:eastAsia="zh-CN"/>
              </w:rPr>
              <w:t>专项业务支出</w:t>
            </w:r>
            <w:r>
              <w:rPr>
                <w:rFonts w:hint="eastAsia" w:ascii="华文仿宋" w:hAnsi="华文仿宋" w:eastAsia="华文仿宋"/>
                <w:color w:val="auto"/>
                <w:sz w:val="32"/>
                <w:szCs w:val="32"/>
              </w:rPr>
              <w:t>。</w:t>
            </w:r>
          </w:p>
          <w:p>
            <w:pPr>
              <w:tabs>
                <w:tab w:val="left" w:pos="4364"/>
              </w:tabs>
              <w:spacing w:line="600" w:lineRule="exact"/>
              <w:ind w:firstLine="643" w:firstLineChars="201"/>
              <w:rPr>
                <w:rFonts w:ascii="华文仿宋" w:hAnsi="华文仿宋" w:eastAsia="华文仿宋"/>
                <w:sz w:val="32"/>
                <w:szCs w:val="32"/>
              </w:rPr>
            </w:pPr>
            <w:r>
              <w:rPr>
                <w:rFonts w:hint="eastAsia" w:ascii="华文仿宋" w:hAnsi="华文仿宋" w:eastAsia="华文仿宋"/>
                <w:sz w:val="32"/>
                <w:szCs w:val="32"/>
              </w:rPr>
              <w:t>（3）、专项资金管理情况分析</w:t>
            </w:r>
          </w:p>
          <w:p>
            <w:pPr>
              <w:tabs>
                <w:tab w:val="left" w:pos="4364"/>
              </w:tabs>
              <w:spacing w:line="600" w:lineRule="exact"/>
              <w:ind w:firstLine="643" w:firstLineChars="201"/>
              <w:rPr>
                <w:rFonts w:ascii="华文仿宋" w:hAnsi="华文仿宋" w:eastAsia="华文仿宋"/>
                <w:sz w:val="32"/>
                <w:szCs w:val="32"/>
              </w:rPr>
            </w:pPr>
            <w:r>
              <w:rPr>
                <w:rFonts w:hint="eastAsia" w:ascii="华文仿宋" w:hAnsi="华文仿宋" w:eastAsia="华文仿宋"/>
                <w:sz w:val="32"/>
                <w:szCs w:val="32"/>
              </w:rPr>
              <w:t>我局项目资金全部按财政国库集中支付制度要求使用和拨付，通过财政直接支付方式拨付给项</w:t>
            </w:r>
            <w:r>
              <w:rPr>
                <w:rFonts w:hint="eastAsia" w:ascii="华文仿宋" w:hAnsi="华文仿宋" w:eastAsia="华文仿宋"/>
                <w:sz w:val="32"/>
                <w:szCs w:val="32"/>
                <w:lang w:eastAsia="zh-CN"/>
              </w:rPr>
              <w:t>目</w:t>
            </w:r>
            <w:r>
              <w:rPr>
                <w:rFonts w:hint="eastAsia" w:ascii="华文仿宋" w:hAnsi="华文仿宋" w:eastAsia="华文仿宋"/>
                <w:sz w:val="32"/>
                <w:szCs w:val="32"/>
              </w:rPr>
              <w:t>实施单位。在拨付过程中严把监督审核关，建立内部审批制度，财务做好项目专帐，严格实行专款专用，保证资金及时足额用到项目中。</w:t>
            </w:r>
          </w:p>
          <w:p>
            <w:pPr>
              <w:tabs>
                <w:tab w:val="left" w:pos="4364"/>
              </w:tabs>
              <w:spacing w:line="600" w:lineRule="exact"/>
              <w:ind w:firstLine="644" w:firstLineChars="201"/>
              <w:rPr>
                <w:rFonts w:ascii="华文仿宋" w:hAnsi="华文仿宋" w:eastAsia="华文仿宋"/>
                <w:b/>
                <w:sz w:val="32"/>
                <w:szCs w:val="32"/>
              </w:rPr>
            </w:pPr>
            <w:r>
              <w:rPr>
                <w:rFonts w:hint="eastAsia" w:ascii="华文仿宋" w:hAnsi="华文仿宋" w:eastAsia="华文仿宋"/>
                <w:b/>
                <w:sz w:val="32"/>
                <w:szCs w:val="32"/>
              </w:rPr>
              <w:t>三、部门（单位）专项组织实施情况</w:t>
            </w:r>
          </w:p>
          <w:p>
            <w:pPr>
              <w:tabs>
                <w:tab w:val="left" w:pos="4364"/>
              </w:tabs>
              <w:spacing w:line="600" w:lineRule="exact"/>
              <w:ind w:firstLine="644" w:firstLineChars="201"/>
              <w:rPr>
                <w:rFonts w:ascii="华文仿宋" w:hAnsi="华文仿宋" w:eastAsia="华文仿宋"/>
                <w:b/>
                <w:sz w:val="32"/>
                <w:szCs w:val="32"/>
              </w:rPr>
            </w:pPr>
            <w:r>
              <w:rPr>
                <w:rFonts w:hint="eastAsia" w:ascii="华文仿宋" w:hAnsi="华文仿宋" w:eastAsia="华文仿宋"/>
                <w:b/>
                <w:sz w:val="32"/>
                <w:szCs w:val="32"/>
              </w:rPr>
              <w:t>（一）专项组织情况分析</w:t>
            </w:r>
          </w:p>
          <w:p>
            <w:pPr>
              <w:ind w:firstLine="560"/>
              <w:rPr>
                <w:rFonts w:eastAsia="楷体_GB2312"/>
                <w:bCs/>
                <w:color w:val="000000"/>
                <w:sz w:val="28"/>
                <w:szCs w:val="28"/>
              </w:rPr>
            </w:pPr>
            <w:r>
              <w:rPr>
                <w:rFonts w:hint="eastAsia" w:ascii="华文仿宋" w:hAnsi="华文仿宋" w:eastAsia="华文仿宋"/>
                <w:color w:val="000000"/>
                <w:sz w:val="32"/>
                <w:szCs w:val="32"/>
              </w:rPr>
              <w:t>我局2021年项目严格按照申报方案实施，达到财评标准的建设项目严格按财评的要求进行财评和公开招标程序办理，对未达到招投标金额标准的采取议价的方式进行实施。所有项目完工后均组织专业技术人员进行项目验收，再做竣工结算。</w:t>
            </w:r>
          </w:p>
          <w:p>
            <w:pPr>
              <w:ind w:firstLine="640" w:firstLineChars="200"/>
              <w:rPr>
                <w:rFonts w:ascii="华文仿宋" w:hAnsi="华文仿宋" w:eastAsia="华文仿宋"/>
                <w:bCs/>
                <w:sz w:val="32"/>
                <w:szCs w:val="32"/>
              </w:rPr>
            </w:pPr>
            <w:r>
              <w:rPr>
                <w:rFonts w:hint="eastAsia" w:ascii="华文仿宋" w:hAnsi="华文仿宋" w:eastAsia="华文仿宋"/>
                <w:bCs/>
                <w:sz w:val="32"/>
                <w:szCs w:val="32"/>
              </w:rPr>
              <w:t>（二）专项管理情况分析</w:t>
            </w:r>
          </w:p>
          <w:p>
            <w:pPr>
              <w:ind w:firstLine="640" w:firstLineChars="200"/>
              <w:rPr>
                <w:rFonts w:ascii="华文仿宋" w:hAnsi="华文仿宋" w:eastAsia="华文仿宋"/>
                <w:bCs/>
                <w:sz w:val="32"/>
                <w:szCs w:val="32"/>
              </w:rPr>
            </w:pPr>
            <w:r>
              <w:rPr>
                <w:rFonts w:hint="eastAsia" w:ascii="华文仿宋" w:hAnsi="华文仿宋" w:eastAsia="华文仿宋"/>
                <w:bCs/>
                <w:sz w:val="32"/>
                <w:szCs w:val="32"/>
              </w:rPr>
              <w:t>我局按照项目资金管理制度要求，对项目实施和资金使用分配方案坚持局党组集体决策。对各项目制定工作方案，明确完成具体时间，开展项目规划设计、部署工作，认真落实建设任务。</w:t>
            </w:r>
          </w:p>
          <w:p>
            <w:pPr>
              <w:tabs>
                <w:tab w:val="left" w:pos="4364"/>
              </w:tabs>
              <w:spacing w:line="600" w:lineRule="exact"/>
              <w:ind w:firstLine="644" w:firstLineChars="201"/>
              <w:rPr>
                <w:rFonts w:ascii="华文仿宋" w:hAnsi="华文仿宋" w:eastAsia="华文仿宋"/>
                <w:b/>
                <w:sz w:val="32"/>
                <w:szCs w:val="32"/>
              </w:rPr>
            </w:pPr>
            <w:r>
              <w:rPr>
                <w:rFonts w:hint="eastAsia" w:ascii="华文仿宋" w:hAnsi="华文仿宋" w:eastAsia="华文仿宋"/>
                <w:b/>
                <w:sz w:val="32"/>
                <w:szCs w:val="32"/>
              </w:rPr>
              <w:t>四、部门（单位）整体支出绩效情况</w:t>
            </w:r>
          </w:p>
          <w:p>
            <w:pPr>
              <w:spacing w:line="600" w:lineRule="exact"/>
              <w:ind w:firstLine="420"/>
              <w:rPr>
                <w:rFonts w:ascii="华文仿宋" w:hAnsi="华文仿宋" w:eastAsia="华文仿宋"/>
                <w:sz w:val="32"/>
                <w:szCs w:val="32"/>
              </w:rPr>
            </w:pPr>
            <w:r>
              <w:rPr>
                <w:rFonts w:hint="eastAsia" w:ascii="华文仿宋" w:hAnsi="华文仿宋" w:eastAsia="华文仿宋"/>
                <w:sz w:val="32"/>
                <w:szCs w:val="32"/>
              </w:rPr>
              <w:t>（一）部门整体支出绩效评价依据</w:t>
            </w:r>
          </w:p>
          <w:p>
            <w:pPr>
              <w:spacing w:line="600" w:lineRule="exact"/>
              <w:ind w:firstLine="643" w:firstLineChars="201"/>
              <w:rPr>
                <w:rFonts w:ascii="华文仿宋" w:hAnsi="华文仿宋" w:eastAsia="华文仿宋"/>
                <w:sz w:val="32"/>
                <w:szCs w:val="32"/>
              </w:rPr>
            </w:pPr>
            <w:r>
              <w:rPr>
                <w:rFonts w:hint="eastAsia" w:ascii="华文仿宋" w:hAnsi="华文仿宋" w:eastAsia="华文仿宋"/>
                <w:sz w:val="32"/>
                <w:szCs w:val="32"/>
              </w:rPr>
              <w:t>1、《岳阳市君山区财政局关于开展2021年度部门整体支出绩效自评工作的通知》</w:t>
            </w:r>
          </w:p>
          <w:p>
            <w:pPr>
              <w:spacing w:line="660" w:lineRule="exact"/>
              <w:ind w:firstLine="640" w:firstLineChars="200"/>
              <w:jc w:val="left"/>
              <w:rPr>
                <w:rFonts w:eastAsia="仿宋_GB2312"/>
                <w:sz w:val="32"/>
                <w:szCs w:val="32"/>
              </w:rPr>
            </w:pPr>
            <w:r>
              <w:rPr>
                <w:rFonts w:hint="eastAsia" w:ascii="华文仿宋" w:hAnsi="华文仿宋" w:eastAsia="华文仿宋"/>
                <w:sz w:val="32"/>
                <w:szCs w:val="32"/>
              </w:rPr>
              <w:t>2、</w:t>
            </w:r>
            <w:r>
              <w:rPr>
                <w:rFonts w:eastAsia="仿宋_GB2312"/>
                <w:sz w:val="32"/>
                <w:szCs w:val="32"/>
              </w:rPr>
              <w:t>《预算法》</w:t>
            </w:r>
            <w:r>
              <w:rPr>
                <w:rFonts w:hint="eastAsia" w:eastAsia="仿宋_GB2312"/>
                <w:sz w:val="32"/>
                <w:szCs w:val="32"/>
              </w:rPr>
              <w:t>、</w:t>
            </w:r>
            <w:r>
              <w:rPr>
                <w:rFonts w:eastAsia="仿宋_GB2312"/>
                <w:sz w:val="32"/>
                <w:szCs w:val="32"/>
              </w:rPr>
              <w:t>《党政机关厉行节约反对浪费条例》、</w:t>
            </w:r>
            <w:r>
              <w:rPr>
                <w:rFonts w:eastAsia="仿宋_GB2312"/>
                <w:color w:val="auto"/>
                <w:kern w:val="0"/>
                <w:sz w:val="32"/>
                <w:szCs w:val="32"/>
              </w:rPr>
              <w:t>财政部《项目支出绩效评价管理办法》（财预〔2020〕10号）</w:t>
            </w:r>
            <w:r>
              <w:rPr>
                <w:rFonts w:hint="eastAsia" w:eastAsia="仿宋_GB2312"/>
                <w:color w:val="auto"/>
                <w:kern w:val="0"/>
                <w:sz w:val="32"/>
                <w:szCs w:val="32"/>
              </w:rPr>
              <w:t>、</w:t>
            </w:r>
            <w:r>
              <w:rPr>
                <w:rFonts w:hint="eastAsia" w:ascii="仿宋" w:hAnsi="仿宋" w:eastAsia="仿宋" w:cs="仿宋"/>
                <w:color w:val="auto"/>
                <w:sz w:val="32"/>
                <w:szCs w:val="32"/>
              </w:rPr>
              <w:t>湖南省财政厅关于印发《湖南省预算支出绩效评价管理办法》的通知（湘财绩〔</w:t>
            </w:r>
            <w:r>
              <w:rPr>
                <w:rFonts w:hint="eastAsia" w:ascii="仿宋" w:hAnsi="仿宋" w:eastAsia="仿宋" w:cs="仿宋"/>
                <w:color w:val="auto"/>
                <w:spacing w:val="-6"/>
                <w:sz w:val="32"/>
                <w:szCs w:val="32"/>
              </w:rPr>
              <w:t>2020</w:t>
            </w:r>
            <w:r>
              <w:rPr>
                <w:rFonts w:hint="eastAsia" w:ascii="仿宋" w:hAnsi="仿宋" w:eastAsia="仿宋" w:cs="仿宋"/>
                <w:color w:val="auto"/>
                <w:sz w:val="32"/>
                <w:szCs w:val="32"/>
              </w:rPr>
              <w:t>〕7号）</w:t>
            </w:r>
            <w:r>
              <w:rPr>
                <w:rFonts w:eastAsia="仿宋_GB2312"/>
                <w:color w:val="auto"/>
                <w:sz w:val="32"/>
                <w:szCs w:val="32"/>
              </w:rPr>
              <w:t>，</w:t>
            </w:r>
            <w:r>
              <w:rPr>
                <w:rFonts w:eastAsia="仿宋_GB2312"/>
                <w:sz w:val="32"/>
                <w:szCs w:val="32"/>
              </w:rPr>
              <w:t>以及中央、省市有关政策规定和各行业财务会计制度。</w:t>
            </w:r>
          </w:p>
          <w:p>
            <w:pPr>
              <w:adjustRightInd w:val="0"/>
              <w:snapToGrid w:val="0"/>
              <w:spacing w:line="640" w:lineRule="exact"/>
              <w:ind w:firstLine="640" w:firstLineChars="200"/>
              <w:contextualSpacing/>
              <w:rPr>
                <w:rFonts w:eastAsia="仿宋_GB2312"/>
                <w:sz w:val="32"/>
                <w:szCs w:val="32"/>
              </w:rPr>
            </w:pPr>
            <w:r>
              <w:rPr>
                <w:rFonts w:hint="eastAsia" w:ascii="华文仿宋" w:hAnsi="华文仿宋" w:eastAsia="华文仿宋"/>
                <w:sz w:val="32"/>
                <w:szCs w:val="32"/>
              </w:rPr>
              <w:t>3、</w:t>
            </w:r>
            <w:r>
              <w:rPr>
                <w:rFonts w:eastAsia="仿宋_GB2312"/>
                <w:sz w:val="32"/>
                <w:szCs w:val="32"/>
              </w:rPr>
              <w:t>部门职能职责、年度工作计划，专项资金绩效目标、专项资金及项目管理办法。</w:t>
            </w:r>
          </w:p>
          <w:p>
            <w:pPr>
              <w:adjustRightInd w:val="0"/>
              <w:snapToGrid w:val="0"/>
              <w:spacing w:line="640" w:lineRule="exact"/>
              <w:ind w:firstLine="640" w:firstLineChars="200"/>
              <w:contextualSpacing/>
              <w:rPr>
                <w:rFonts w:eastAsia="仿宋_GB2312"/>
              </w:rPr>
            </w:pPr>
            <w:r>
              <w:rPr>
                <w:rFonts w:hint="eastAsia" w:eastAsia="仿宋_GB2312"/>
                <w:sz w:val="32"/>
                <w:szCs w:val="32"/>
              </w:rPr>
              <w:t>4、</w:t>
            </w:r>
            <w:r>
              <w:rPr>
                <w:rFonts w:eastAsia="仿宋_GB2312"/>
                <w:sz w:val="32"/>
                <w:szCs w:val="32"/>
              </w:rPr>
              <w:t>部门预算资金、财政部门预算批复、部门年度预算执行情况、年度决算报告，项目审计报告和完成验收报告等。</w:t>
            </w:r>
          </w:p>
          <w:p>
            <w:pPr>
              <w:spacing w:line="600" w:lineRule="exact"/>
              <w:ind w:firstLine="643" w:firstLineChars="201"/>
              <w:rPr>
                <w:rFonts w:ascii="华文仿宋" w:hAnsi="华文仿宋" w:eastAsia="华文仿宋"/>
                <w:sz w:val="32"/>
                <w:szCs w:val="32"/>
              </w:rPr>
            </w:pPr>
            <w:r>
              <w:rPr>
                <w:rFonts w:hint="eastAsia" w:ascii="华文仿宋" w:hAnsi="华文仿宋" w:eastAsia="华文仿宋"/>
                <w:sz w:val="32"/>
                <w:szCs w:val="32"/>
              </w:rPr>
              <w:t>（二）部门整体支出绩效评价的目的</w:t>
            </w:r>
          </w:p>
          <w:p>
            <w:pPr>
              <w:spacing w:line="600" w:lineRule="exact"/>
              <w:ind w:firstLine="643" w:firstLineChars="201"/>
              <w:rPr>
                <w:rFonts w:ascii="华文仿宋" w:hAnsi="华文仿宋" w:eastAsia="华文仿宋"/>
                <w:sz w:val="32"/>
                <w:szCs w:val="32"/>
              </w:rPr>
            </w:pPr>
            <w:r>
              <w:rPr>
                <w:rFonts w:hint="eastAsia" w:ascii="华文仿宋" w:hAnsi="华文仿宋" w:eastAsia="华文仿宋"/>
                <w:sz w:val="32"/>
                <w:szCs w:val="32"/>
              </w:rPr>
              <w:t>通过对2021年度君山区财政局的预算配置、预算管理、资产管理、职责履行、履职效益等内容的绩效考评，提高财政资金的使用效率，为预算管理提供决策依据。</w:t>
            </w:r>
          </w:p>
          <w:p>
            <w:pPr>
              <w:spacing w:line="600" w:lineRule="exact"/>
              <w:ind w:firstLine="643" w:firstLineChars="201"/>
              <w:rPr>
                <w:rFonts w:ascii="华文仿宋" w:hAnsi="华文仿宋" w:eastAsia="华文仿宋"/>
                <w:sz w:val="32"/>
                <w:szCs w:val="32"/>
              </w:rPr>
            </w:pPr>
            <w:r>
              <w:rPr>
                <w:rFonts w:hint="eastAsia" w:ascii="华文仿宋" w:hAnsi="华文仿宋" w:eastAsia="华文仿宋"/>
                <w:sz w:val="32"/>
                <w:szCs w:val="32"/>
              </w:rPr>
              <w:t>（三）部门整体支出评价原则、指标评价体系、评价方法</w:t>
            </w:r>
          </w:p>
          <w:p>
            <w:pPr>
              <w:spacing w:line="600" w:lineRule="exact"/>
              <w:ind w:firstLine="643" w:firstLineChars="201"/>
              <w:rPr>
                <w:rFonts w:ascii="华文仿宋" w:hAnsi="华文仿宋" w:eastAsia="华文仿宋"/>
                <w:sz w:val="32"/>
                <w:szCs w:val="32"/>
              </w:rPr>
            </w:pPr>
            <w:r>
              <w:rPr>
                <w:rFonts w:hint="eastAsia" w:ascii="华文仿宋" w:hAnsi="华文仿宋" w:eastAsia="华文仿宋"/>
                <w:sz w:val="32"/>
                <w:szCs w:val="32"/>
              </w:rPr>
              <w:t>1、部门整体支出绩效评价原则：遵循客观公正，操作简便高效，尊重客观实际，实事求是的原则。</w:t>
            </w:r>
          </w:p>
          <w:p>
            <w:pPr>
              <w:spacing w:line="600" w:lineRule="exact"/>
              <w:ind w:firstLine="643" w:firstLineChars="201"/>
              <w:rPr>
                <w:rFonts w:ascii="华文仿宋" w:hAnsi="华文仿宋" w:eastAsia="华文仿宋"/>
                <w:sz w:val="32"/>
                <w:szCs w:val="32"/>
              </w:rPr>
            </w:pPr>
            <w:r>
              <w:rPr>
                <w:rFonts w:hint="eastAsia" w:ascii="华文仿宋" w:hAnsi="华文仿宋" w:eastAsia="华文仿宋"/>
                <w:sz w:val="32"/>
                <w:szCs w:val="32"/>
              </w:rPr>
              <w:t>2、整体支出绩效评价体系：指标体系包括共性指标和个性指标两部分，本次主要参照了上级财政部门制定的《部门整体支出绩效评价指标体系》的相关内容，根据部门具体情况对个性指标进行了调整细化，形成《君山区财政局202</w:t>
            </w:r>
            <w:r>
              <w:rPr>
                <w:rFonts w:hint="eastAsia" w:ascii="华文仿宋" w:hAnsi="华文仿宋" w:eastAsia="华文仿宋"/>
                <w:sz w:val="32"/>
                <w:szCs w:val="32"/>
                <w:lang w:val="en-US" w:eastAsia="zh-CN"/>
              </w:rPr>
              <w:t>1</w:t>
            </w:r>
            <w:r>
              <w:rPr>
                <w:rFonts w:hint="eastAsia" w:ascii="华文仿宋" w:hAnsi="华文仿宋" w:eastAsia="华文仿宋"/>
                <w:sz w:val="32"/>
                <w:szCs w:val="32"/>
              </w:rPr>
              <w:t>年整体支出绩效评价指标体系》。</w:t>
            </w:r>
          </w:p>
          <w:p>
            <w:pPr>
              <w:spacing w:line="600" w:lineRule="exact"/>
              <w:ind w:firstLine="643" w:firstLineChars="201"/>
              <w:rPr>
                <w:rFonts w:ascii="华文仿宋" w:hAnsi="华文仿宋" w:eastAsia="华文仿宋"/>
                <w:sz w:val="32"/>
                <w:szCs w:val="32"/>
              </w:rPr>
            </w:pPr>
            <w:r>
              <w:rPr>
                <w:rFonts w:hint="eastAsia" w:ascii="华文仿宋" w:hAnsi="华文仿宋" w:eastAsia="华文仿宋"/>
                <w:sz w:val="32"/>
                <w:szCs w:val="32"/>
              </w:rPr>
              <w:t>3、整体支出绩效评价方法：主要采用因素分析法、投入产支出效益分析法，比较法等方法。</w:t>
            </w:r>
          </w:p>
          <w:p>
            <w:pPr>
              <w:spacing w:line="600" w:lineRule="exact"/>
              <w:ind w:firstLine="643" w:firstLineChars="201"/>
              <w:rPr>
                <w:rFonts w:ascii="华文仿宋" w:hAnsi="华文仿宋" w:eastAsia="华文仿宋"/>
                <w:sz w:val="32"/>
                <w:szCs w:val="32"/>
              </w:rPr>
            </w:pPr>
            <w:r>
              <w:rPr>
                <w:rFonts w:hint="eastAsia" w:ascii="华文仿宋" w:hAnsi="华文仿宋" w:eastAsia="华文仿宋"/>
                <w:sz w:val="32"/>
                <w:szCs w:val="32"/>
              </w:rPr>
              <w:t>（四）整体支出绩效评价过程</w:t>
            </w:r>
          </w:p>
          <w:p>
            <w:pPr>
              <w:spacing w:line="600" w:lineRule="exact"/>
              <w:ind w:firstLine="643" w:firstLineChars="201"/>
              <w:rPr>
                <w:rFonts w:ascii="华文仿宋" w:hAnsi="华文仿宋" w:eastAsia="华文仿宋"/>
                <w:sz w:val="32"/>
                <w:szCs w:val="32"/>
              </w:rPr>
            </w:pPr>
            <w:r>
              <w:rPr>
                <w:rFonts w:hint="eastAsia" w:ascii="华文仿宋" w:hAnsi="华文仿宋" w:eastAsia="华文仿宋"/>
                <w:sz w:val="32"/>
                <w:szCs w:val="32"/>
              </w:rPr>
              <w:t>1、前期准备：按照绩效自评工作要求，组成以徐皓同志为组长的绩效评价工作小组，对相关的国家法律法规进行了认真学习，掌握政策，根据部门整体收支情况制定了部门整体支出绩效评价实施方案，设计了绩效评价指标体系。</w:t>
            </w:r>
          </w:p>
          <w:p>
            <w:pPr>
              <w:spacing w:line="600" w:lineRule="exact"/>
              <w:ind w:firstLine="643" w:firstLineChars="201"/>
              <w:rPr>
                <w:rFonts w:ascii="华文仿宋" w:hAnsi="华文仿宋" w:eastAsia="华文仿宋"/>
                <w:sz w:val="32"/>
                <w:szCs w:val="32"/>
              </w:rPr>
            </w:pPr>
            <w:r>
              <w:rPr>
                <w:rFonts w:hint="eastAsia" w:ascii="华文仿宋" w:hAnsi="华文仿宋" w:eastAsia="华文仿宋"/>
                <w:sz w:val="32"/>
                <w:szCs w:val="32"/>
              </w:rPr>
              <w:t>2、组织实施：采用核查法，核查2021年度区级预算批复执行及部门整体支出情况，着重核查了“三公”经费及资产管理，内部控制制度情况，对内设机构，根据部门职能和年初制定的绩效考核目标，进行了实地绩效考评。</w:t>
            </w:r>
          </w:p>
          <w:p>
            <w:pPr>
              <w:spacing w:line="600" w:lineRule="exact"/>
              <w:ind w:firstLine="643" w:firstLineChars="201"/>
              <w:rPr>
                <w:rFonts w:ascii="华文仿宋" w:hAnsi="华文仿宋" w:eastAsia="华文仿宋"/>
                <w:sz w:val="32"/>
                <w:szCs w:val="32"/>
              </w:rPr>
            </w:pPr>
            <w:r>
              <w:rPr>
                <w:rFonts w:hint="eastAsia" w:ascii="华文仿宋" w:hAnsi="华文仿宋" w:eastAsia="华文仿宋"/>
                <w:sz w:val="32"/>
                <w:szCs w:val="32"/>
              </w:rPr>
              <w:t>3、分析评价：对评价过程中收集资料进行归纳，汇总分析，依据设定的部门整体支出绩效评价指标体系进行了评分，形成了综合性书面报告。</w:t>
            </w:r>
          </w:p>
          <w:p>
            <w:pPr>
              <w:spacing w:line="600" w:lineRule="exact"/>
              <w:ind w:firstLine="644" w:firstLineChars="201"/>
              <w:rPr>
                <w:rFonts w:ascii="华文仿宋" w:hAnsi="华文仿宋" w:eastAsia="华文仿宋"/>
                <w:b/>
                <w:sz w:val="32"/>
                <w:szCs w:val="32"/>
              </w:rPr>
            </w:pPr>
            <w:r>
              <w:rPr>
                <w:rFonts w:hint="eastAsia" w:ascii="华文仿宋" w:hAnsi="华文仿宋" w:eastAsia="华文仿宋"/>
                <w:b/>
                <w:sz w:val="32"/>
                <w:szCs w:val="32"/>
              </w:rPr>
              <w:t>五、存在的主要问题</w:t>
            </w:r>
          </w:p>
          <w:p>
            <w:pPr>
              <w:spacing w:line="600" w:lineRule="exact"/>
              <w:ind w:firstLine="643" w:firstLineChars="201"/>
              <w:rPr>
                <w:rFonts w:ascii="华文仿宋" w:hAnsi="华文仿宋" w:eastAsia="华文仿宋"/>
                <w:sz w:val="32"/>
                <w:szCs w:val="32"/>
              </w:rPr>
            </w:pPr>
            <w:r>
              <w:rPr>
                <w:rFonts w:hint="eastAsia" w:ascii="华文仿宋" w:hAnsi="华文仿宋" w:eastAsia="华文仿宋"/>
                <w:sz w:val="32"/>
                <w:szCs w:val="32"/>
              </w:rPr>
              <w:t>通过对2021年度部门整体支出绩效自评，我们认识到，绩效管理不只是财政支出方面，而应更加注重产出及效率，这样有利于我们强化支出的责任，提高财政资金的使用效益，更好地促进我们履行职责。除此之外，部门预算编制有待更细化、更精准；工作人员业务办理综合素质有待相应提升。</w:t>
            </w:r>
          </w:p>
          <w:p>
            <w:pPr>
              <w:spacing w:line="600" w:lineRule="exact"/>
              <w:ind w:firstLine="644" w:firstLineChars="201"/>
              <w:rPr>
                <w:rFonts w:ascii="华文仿宋" w:hAnsi="华文仿宋" w:eastAsia="华文仿宋"/>
                <w:b/>
                <w:sz w:val="32"/>
                <w:szCs w:val="32"/>
              </w:rPr>
            </w:pPr>
            <w:r>
              <w:rPr>
                <w:rFonts w:hint="eastAsia" w:ascii="华文仿宋" w:hAnsi="华文仿宋" w:eastAsia="华文仿宋"/>
                <w:b/>
                <w:sz w:val="32"/>
                <w:szCs w:val="32"/>
              </w:rPr>
              <w:t>六、改进措施和有关建议</w:t>
            </w:r>
          </w:p>
          <w:p>
            <w:pPr>
              <w:spacing w:line="600" w:lineRule="exact"/>
              <w:ind w:firstLine="643" w:firstLineChars="201"/>
              <w:rPr>
                <w:rFonts w:ascii="华文仿宋" w:hAnsi="华文仿宋" w:eastAsia="华文仿宋"/>
                <w:sz w:val="32"/>
                <w:szCs w:val="32"/>
              </w:rPr>
            </w:pPr>
            <w:r>
              <w:rPr>
                <w:rFonts w:hint="eastAsia" w:ascii="华文仿宋" w:hAnsi="华文仿宋" w:eastAsia="华文仿宋"/>
                <w:sz w:val="32"/>
                <w:szCs w:val="32"/>
              </w:rPr>
              <w:t>通过开展部门整体支出绩效自评，我们吸取了一些教训也收获一定的经验，主要为：</w:t>
            </w:r>
          </w:p>
          <w:p>
            <w:pPr>
              <w:spacing w:line="600" w:lineRule="exact"/>
              <w:ind w:firstLine="643" w:firstLineChars="201"/>
              <w:rPr>
                <w:rFonts w:ascii="华文仿宋" w:hAnsi="华文仿宋" w:eastAsia="华文仿宋"/>
                <w:sz w:val="32"/>
                <w:szCs w:val="32"/>
              </w:rPr>
            </w:pPr>
            <w:r>
              <w:rPr>
                <w:rFonts w:hint="eastAsia" w:ascii="华文仿宋" w:hAnsi="华文仿宋" w:eastAsia="华文仿宋"/>
                <w:sz w:val="32"/>
                <w:szCs w:val="32"/>
              </w:rPr>
              <w:t>一是科学合理地编制部门预算，预算要结合本部门的事业发展计划、职责和任务测算，要确保部门预算编制真实、准确、完整，结合单位实际。</w:t>
            </w:r>
          </w:p>
          <w:p>
            <w:pPr>
              <w:spacing w:line="600" w:lineRule="exact"/>
              <w:ind w:firstLine="643" w:firstLineChars="201"/>
              <w:rPr>
                <w:rFonts w:ascii="华文仿宋" w:hAnsi="华文仿宋" w:eastAsia="华文仿宋"/>
                <w:sz w:val="32"/>
                <w:szCs w:val="32"/>
              </w:rPr>
            </w:pPr>
            <w:r>
              <w:rPr>
                <w:rFonts w:hint="eastAsia" w:ascii="华文仿宋" w:hAnsi="华文仿宋" w:eastAsia="华文仿宋"/>
                <w:sz w:val="32"/>
                <w:szCs w:val="32"/>
              </w:rPr>
              <w:t>二是要进一步增强精细化意识，以强化部门预算执行为核心，做好账务记载与核查工作，确保财政资金的安全性，努力提高日常管理水平。</w:t>
            </w:r>
          </w:p>
          <w:p>
            <w:pPr>
              <w:spacing w:line="600" w:lineRule="exact"/>
              <w:ind w:firstLine="643" w:firstLineChars="201"/>
              <w:rPr>
                <w:rFonts w:ascii="华文仿宋" w:hAnsi="华文仿宋" w:eastAsia="华文仿宋"/>
                <w:sz w:val="32"/>
                <w:szCs w:val="32"/>
              </w:rPr>
            </w:pPr>
            <w:r>
              <w:rPr>
                <w:rFonts w:hint="eastAsia" w:ascii="华文仿宋" w:hAnsi="华文仿宋" w:eastAsia="华文仿宋"/>
                <w:sz w:val="32"/>
                <w:szCs w:val="32"/>
              </w:rPr>
              <w:t>三是要强化绩效管理考核，围绕绩效考核目标任务，层层分解落实，明确责任领导和责任单位及责任人，强化责任意识，使每位同志对自己的目标任务了然于胸，从而增强工作的主动性和积极性，使考核目标中涉及到的每一项任务都落到了实处，同时建立并执行考核目标执行情况跟踪检查制度，责任追究制度，使单位在合理使用资金，有效控制支出的情况下，确保各项绩效考核指标保质保量完成。</w:t>
            </w:r>
          </w:p>
          <w:p>
            <w:pPr>
              <w:rPr>
                <w:rFonts w:eastAsia="楷体_GB2312"/>
                <w:bCs/>
                <w:sz w:val="28"/>
                <w:szCs w:val="28"/>
              </w:rPr>
            </w:pPr>
          </w:p>
        </w:tc>
      </w:tr>
    </w:tbl>
    <w:p>
      <w:pPr>
        <w:spacing w:beforeLines="100" w:afterLines="100"/>
        <w:ind w:firstLine="2160" w:firstLineChars="600"/>
        <w:rPr>
          <w:rFonts w:ascii="方正小标宋简体" w:eastAsia="方正小标宋简体"/>
          <w:sz w:val="36"/>
          <w:szCs w:val="36"/>
        </w:rPr>
      </w:pPr>
      <w:r>
        <w:rPr>
          <w:rFonts w:hint="eastAsia" w:ascii="方正小标宋简体" w:eastAsia="方正小标宋简体"/>
          <w:sz w:val="36"/>
          <w:szCs w:val="36"/>
        </w:rPr>
        <w:t>部门整体支出绩效评价评分表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left"/>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left"/>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w:pict>
        <v:shape id="_x0000_s4099" o:spid="_x0000_s409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3"/>
                  <w:rPr>
                    <w:rStyle w:val="7"/>
                  </w:rPr>
                </w:pPr>
                <w:r>
                  <w:rPr>
                    <w:rStyle w:val="7"/>
                    <w:rFonts w:hint="eastAsia"/>
                  </w:rPr>
                  <w:t xml:space="preserve">— </w:t>
                </w:r>
                <w:r>
                  <w:fldChar w:fldCharType="begin"/>
                </w:r>
                <w:r>
                  <w:rPr>
                    <w:rStyle w:val="7"/>
                  </w:rPr>
                  <w:instrText xml:space="preserve">PAGE  </w:instrText>
                </w:r>
                <w:r>
                  <w:fldChar w:fldCharType="separate"/>
                </w:r>
                <w:r>
                  <w:rPr>
                    <w:rStyle w:val="7"/>
                  </w:rPr>
                  <w:t>7</w:t>
                </w:r>
                <w:r>
                  <w:fldChar w:fldCharType="end"/>
                </w:r>
                <w:r>
                  <w:rPr>
                    <w:rStyle w:val="7"/>
                    <w:rFonts w:hint="eastAsia"/>
                  </w:rPr>
                  <w:t xml:space="preserve"> —</w:t>
                </w:r>
              </w:p>
            </w:txbxContent>
          </v:textbox>
        </v:shape>
      </w:pic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3"/>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12</w:t>
                </w:r>
                <w:r>
                  <w:rPr>
                    <w:sz w:val="24"/>
                    <w:szCs w:val="24"/>
                  </w:rPr>
                  <w:fldChar w:fldCharType="end"/>
                </w:r>
                <w:r>
                  <w:rPr>
                    <w:rStyle w:val="7"/>
                    <w:rFonts w:hint="eastAsia"/>
                    <w:sz w:val="24"/>
                    <w:szCs w:val="24"/>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end"/>
    </w: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attachedTemplate r:id="rId1"/>
  <w:documentProtection w:enforcement="0"/>
  <w:defaultTabStop w:val="420"/>
  <w:drawingGridHorizontalSpacing w:val="103"/>
  <w:drawingGridVerticalSpacing w:val="301"/>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UwODNiNzZiYjM2Y2ExYjMwNTAwMTJkOGQzZjEzZjYifQ=="/>
  </w:docVars>
  <w:rsids>
    <w:rsidRoot w:val="055A6F26"/>
    <w:rsid w:val="0001090D"/>
    <w:rsid w:val="0005548E"/>
    <w:rsid w:val="000D31D8"/>
    <w:rsid w:val="000D3780"/>
    <w:rsid w:val="000E422F"/>
    <w:rsid w:val="000E6EE6"/>
    <w:rsid w:val="00166FF6"/>
    <w:rsid w:val="0018072F"/>
    <w:rsid w:val="001874EA"/>
    <w:rsid w:val="00195327"/>
    <w:rsid w:val="001C79AF"/>
    <w:rsid w:val="0026323E"/>
    <w:rsid w:val="00293674"/>
    <w:rsid w:val="002E3B42"/>
    <w:rsid w:val="00310985"/>
    <w:rsid w:val="003A1DEB"/>
    <w:rsid w:val="003D21C9"/>
    <w:rsid w:val="00410AB9"/>
    <w:rsid w:val="00454DD2"/>
    <w:rsid w:val="004D52C7"/>
    <w:rsid w:val="00552C6A"/>
    <w:rsid w:val="005B328A"/>
    <w:rsid w:val="005F7924"/>
    <w:rsid w:val="00613C75"/>
    <w:rsid w:val="00624CA5"/>
    <w:rsid w:val="00642137"/>
    <w:rsid w:val="006A33A2"/>
    <w:rsid w:val="006E123B"/>
    <w:rsid w:val="0073321E"/>
    <w:rsid w:val="007766DE"/>
    <w:rsid w:val="00776E48"/>
    <w:rsid w:val="007C16D8"/>
    <w:rsid w:val="007C7981"/>
    <w:rsid w:val="007D5ECA"/>
    <w:rsid w:val="007E2C79"/>
    <w:rsid w:val="007E69DF"/>
    <w:rsid w:val="00826C19"/>
    <w:rsid w:val="00856723"/>
    <w:rsid w:val="00857404"/>
    <w:rsid w:val="008C7938"/>
    <w:rsid w:val="0090035D"/>
    <w:rsid w:val="00901039"/>
    <w:rsid w:val="009E36B4"/>
    <w:rsid w:val="009E6A78"/>
    <w:rsid w:val="00A068AD"/>
    <w:rsid w:val="00A258F1"/>
    <w:rsid w:val="00A270BA"/>
    <w:rsid w:val="00AB5F23"/>
    <w:rsid w:val="00B36A13"/>
    <w:rsid w:val="00BC217F"/>
    <w:rsid w:val="00C2070E"/>
    <w:rsid w:val="00C53630"/>
    <w:rsid w:val="00C741E9"/>
    <w:rsid w:val="00C75F00"/>
    <w:rsid w:val="00CB4A31"/>
    <w:rsid w:val="00CB6081"/>
    <w:rsid w:val="00D208FD"/>
    <w:rsid w:val="00D22FCB"/>
    <w:rsid w:val="00DD7B2D"/>
    <w:rsid w:val="00E44E11"/>
    <w:rsid w:val="00EF3729"/>
    <w:rsid w:val="00F166A0"/>
    <w:rsid w:val="00F824B4"/>
    <w:rsid w:val="021F7ACC"/>
    <w:rsid w:val="04545E0A"/>
    <w:rsid w:val="05000B50"/>
    <w:rsid w:val="055A6F26"/>
    <w:rsid w:val="09950D4D"/>
    <w:rsid w:val="09AE4F0C"/>
    <w:rsid w:val="0A507703"/>
    <w:rsid w:val="0DB17DCE"/>
    <w:rsid w:val="0F3C19DC"/>
    <w:rsid w:val="134907CC"/>
    <w:rsid w:val="140D5FCB"/>
    <w:rsid w:val="178B0DF9"/>
    <w:rsid w:val="186F38D5"/>
    <w:rsid w:val="1A6F2DB8"/>
    <w:rsid w:val="1E0B52D7"/>
    <w:rsid w:val="1E4E1466"/>
    <w:rsid w:val="1ECE3EBD"/>
    <w:rsid w:val="1F290E1C"/>
    <w:rsid w:val="1FD15CB8"/>
    <w:rsid w:val="20482FD4"/>
    <w:rsid w:val="21093056"/>
    <w:rsid w:val="221D28C9"/>
    <w:rsid w:val="23752929"/>
    <w:rsid w:val="23931307"/>
    <w:rsid w:val="27390BD1"/>
    <w:rsid w:val="28C114A4"/>
    <w:rsid w:val="28FC074F"/>
    <w:rsid w:val="2A66629F"/>
    <w:rsid w:val="2B185F17"/>
    <w:rsid w:val="2C1535F6"/>
    <w:rsid w:val="2D69692C"/>
    <w:rsid w:val="2EE67DDF"/>
    <w:rsid w:val="2F6C19A9"/>
    <w:rsid w:val="31C64031"/>
    <w:rsid w:val="37035463"/>
    <w:rsid w:val="387A506E"/>
    <w:rsid w:val="391D6E5E"/>
    <w:rsid w:val="39C4528F"/>
    <w:rsid w:val="3A3A1314"/>
    <w:rsid w:val="3B7E060B"/>
    <w:rsid w:val="3BBB1F39"/>
    <w:rsid w:val="3C091E95"/>
    <w:rsid w:val="3C0C5663"/>
    <w:rsid w:val="3F114B68"/>
    <w:rsid w:val="41095FEC"/>
    <w:rsid w:val="42082596"/>
    <w:rsid w:val="426B5C52"/>
    <w:rsid w:val="44766D22"/>
    <w:rsid w:val="45414B88"/>
    <w:rsid w:val="46602C0D"/>
    <w:rsid w:val="49346875"/>
    <w:rsid w:val="4AA9566D"/>
    <w:rsid w:val="4BA9288D"/>
    <w:rsid w:val="4C4E2AC3"/>
    <w:rsid w:val="4FC33CBA"/>
    <w:rsid w:val="50476111"/>
    <w:rsid w:val="51AC69E8"/>
    <w:rsid w:val="52746D1D"/>
    <w:rsid w:val="55CF39F8"/>
    <w:rsid w:val="56233027"/>
    <w:rsid w:val="59DF3449"/>
    <w:rsid w:val="5CAC64A4"/>
    <w:rsid w:val="5E010849"/>
    <w:rsid w:val="60EA4316"/>
    <w:rsid w:val="631937D1"/>
    <w:rsid w:val="65236B49"/>
    <w:rsid w:val="65AA43C0"/>
    <w:rsid w:val="66161E47"/>
    <w:rsid w:val="669C5CC6"/>
    <w:rsid w:val="68116BFE"/>
    <w:rsid w:val="68CE326F"/>
    <w:rsid w:val="6B2A6AB7"/>
    <w:rsid w:val="6D535020"/>
    <w:rsid w:val="70320DB2"/>
    <w:rsid w:val="703379A9"/>
    <w:rsid w:val="70B962BB"/>
    <w:rsid w:val="71E279DE"/>
    <w:rsid w:val="73625CAA"/>
    <w:rsid w:val="768C70EC"/>
    <w:rsid w:val="76BD5E40"/>
    <w:rsid w:val="770B170B"/>
    <w:rsid w:val="789B6814"/>
    <w:rsid w:val="78B97743"/>
    <w:rsid w:val="78CF2A94"/>
    <w:rsid w:val="78EE0E45"/>
    <w:rsid w:val="796A69FF"/>
    <w:rsid w:val="7E627FB6"/>
    <w:rsid w:val="7F4240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9"/>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156C2D-2571-4E1F-8F08-D9B21541D5EA}">
  <ds:schemaRefs/>
</ds:datastoreItem>
</file>

<file path=docProps/app.xml><?xml version="1.0" encoding="utf-8"?>
<Properties xmlns="http://schemas.openxmlformats.org/officeDocument/2006/extended-properties" xmlns:vt="http://schemas.openxmlformats.org/officeDocument/2006/docPropsVTypes">
  <Template>0.docx</Template>
  <Company>Micorosoft</Company>
  <Pages>14</Pages>
  <Words>6108</Words>
  <Characters>6651</Characters>
  <Lines>56</Lines>
  <Paragraphs>15</Paragraphs>
  <TotalTime>0</TotalTime>
  <ScaleCrop>false</ScaleCrop>
  <LinksUpToDate>false</LinksUpToDate>
  <CharactersWithSpaces>7121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2018-05-23T02:39:00Z</dcterms:created>
  <dc:creator>Administrator</dc:creator>
  <cp:lastModifiedBy>Administrator</cp:lastModifiedBy>
  <cp:lastPrinted>2022-08-24T02:10:00Z</cp:lastPrinted>
  <dcterms:modified xsi:type="dcterms:W3CDTF">2022-10-26T06:35:16Z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2E7EA6F75D4640FC948AC0E2E458B9D5</vt:lpwstr>
  </property>
</Properties>
</file>