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p>
    <w:p>
      <w:pPr>
        <w:spacing w:line="800" w:lineRule="exact"/>
        <w:jc w:val="center"/>
        <w:rPr>
          <w:rFonts w:hint="eastAsia" w:eastAsia="方正小标宋简体"/>
          <w:bCs/>
          <w:sz w:val="46"/>
          <w:szCs w:val="46"/>
        </w:rPr>
      </w:pPr>
    </w:p>
    <w:p>
      <w:pPr>
        <w:spacing w:line="800" w:lineRule="exact"/>
        <w:jc w:val="center"/>
        <w:rPr>
          <w:rFonts w:hint="eastAsia" w:eastAsia="方正小标宋简体"/>
          <w:bCs/>
          <w:sz w:val="46"/>
          <w:szCs w:val="46"/>
        </w:rPr>
      </w:pPr>
    </w:p>
    <w:p>
      <w:pPr>
        <w:spacing w:line="800" w:lineRule="exact"/>
        <w:jc w:val="center"/>
        <w:rPr>
          <w:rFonts w:hint="eastAsia" w:eastAsia="方正小标宋简体"/>
          <w:bCs/>
          <w:sz w:val="46"/>
          <w:szCs w:val="46"/>
        </w:rPr>
      </w:pPr>
    </w:p>
    <w:p>
      <w:pPr>
        <w:spacing w:line="800" w:lineRule="exact"/>
        <w:jc w:val="center"/>
        <w:rPr>
          <w:rFonts w:hint="eastAsia" w:eastAsia="方正小标宋简体"/>
          <w:bCs/>
          <w:sz w:val="46"/>
          <w:szCs w:val="46"/>
        </w:rPr>
      </w:pPr>
    </w:p>
    <w:p>
      <w:pPr>
        <w:spacing w:line="240" w:lineRule="auto"/>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lang w:val="en-US" w:eastAsia="zh-CN"/>
        </w:rPr>
        <w:t>21</w:t>
      </w:r>
      <w:r>
        <w:rPr>
          <w:rFonts w:hint="eastAsia" w:eastAsia="方正小标宋简体"/>
          <w:bCs/>
          <w:sz w:val="46"/>
          <w:szCs w:val="46"/>
        </w:rPr>
        <w:t>年度部门（单位）整体支出</w:t>
      </w:r>
    </w:p>
    <w:p>
      <w:pPr>
        <w:spacing w:line="240" w:lineRule="auto"/>
        <w:jc w:val="center"/>
        <w:rPr>
          <w:rFonts w:eastAsia="方正小标宋简体"/>
          <w:bCs/>
          <w:sz w:val="46"/>
          <w:szCs w:val="46"/>
        </w:rPr>
      </w:pPr>
      <w:r>
        <w:rPr>
          <w:rFonts w:hint="eastAsia" w:eastAsia="方正小标宋简体"/>
          <w:bCs/>
          <w:sz w:val="46"/>
          <w:szCs w:val="46"/>
        </w:rPr>
        <w:t>绩效评价自评报告</w:t>
      </w:r>
    </w:p>
    <w:p>
      <w:pPr>
        <w:spacing w:line="240" w:lineRule="auto"/>
        <w:rPr>
          <w:rFonts w:eastAsia="仿宋_GB2312"/>
          <w:b/>
          <w:sz w:val="32"/>
        </w:rPr>
      </w:pPr>
    </w:p>
    <w:p>
      <w:pPr>
        <w:spacing w:line="240" w:lineRule="auto"/>
        <w:rPr>
          <w:rFonts w:eastAsia="仿宋_GB2312"/>
          <w:b/>
          <w:sz w:val="32"/>
        </w:rPr>
      </w:pPr>
    </w:p>
    <w:p>
      <w:pPr>
        <w:spacing w:before="156" w:beforeLines="50" w:line="240" w:lineRule="auto"/>
        <w:ind w:firstLine="476" w:firstLineChars="150"/>
        <w:rPr>
          <w:rFonts w:hint="eastAsia" w:eastAsia="仿宋_GB2312"/>
          <w:sz w:val="28"/>
          <w:szCs w:val="28"/>
          <w:u w:val="single"/>
          <w:lang w:eastAsia="zh-CN"/>
        </w:rPr>
      </w:pPr>
      <w:r>
        <w:rPr>
          <w:rFonts w:hint="eastAsia" w:eastAsia="仿宋_GB2312"/>
          <w:sz w:val="32"/>
          <w:szCs w:val="32"/>
        </w:rPr>
        <w:t>部门(单位)名称：</w:t>
      </w:r>
      <w:r>
        <w:rPr>
          <w:rFonts w:hint="eastAsia" w:eastAsia="仿宋_GB2312"/>
          <w:sz w:val="28"/>
          <w:szCs w:val="28"/>
          <w:lang w:eastAsia="zh-CN"/>
        </w:rPr>
        <w:t>中国国际贸易促进委员会岳阳市君山区委员会</w:t>
      </w:r>
    </w:p>
    <w:p>
      <w:pPr>
        <w:spacing w:before="156" w:beforeLines="50" w:line="240"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118</w:t>
      </w:r>
    </w:p>
    <w:p>
      <w:pPr>
        <w:spacing w:before="156" w:beforeLines="50" w:line="240" w:lineRule="auto"/>
        <w:ind w:firstLine="476" w:firstLineChars="150"/>
        <w:rPr>
          <w:rFonts w:eastAsia="仿宋_GB2312"/>
          <w:sz w:val="32"/>
          <w:szCs w:val="32"/>
        </w:rPr>
      </w:pPr>
      <w:r>
        <w:rPr>
          <w:rFonts w:hint="eastAsia" w:eastAsia="仿宋_GB2312"/>
          <w:sz w:val="32"/>
          <w:szCs w:val="32"/>
        </w:rPr>
        <w:t>评价方式：部门（单位）绩效自评</w:t>
      </w:r>
    </w:p>
    <w:p>
      <w:pPr>
        <w:spacing w:before="156" w:beforeLines="50" w:line="240"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240" w:lineRule="auto"/>
        <w:ind w:firstLine="2188" w:firstLineChars="690"/>
        <w:rPr>
          <w:rFonts w:eastAsia="仿宋_GB2312"/>
          <w:sz w:val="32"/>
        </w:rPr>
      </w:pPr>
    </w:p>
    <w:p>
      <w:pPr>
        <w:spacing w:line="240"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27</w:t>
      </w:r>
      <w:r>
        <w:rPr>
          <w:rFonts w:hint="eastAsia" w:eastAsia="仿宋_GB2312"/>
          <w:sz w:val="32"/>
        </w:rPr>
        <w:t>日</w:t>
      </w:r>
    </w:p>
    <w:p>
      <w:pPr>
        <w:autoSpaceDN w:val="0"/>
        <w:spacing w:line="240" w:lineRule="auto"/>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杨可可</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8171033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贸促会内设办公室（法律事务部）、会务部（国际展览部）两个机构。主要负责：</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1.园区外的招商；</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color w:val="000000"/>
                <w:kern w:val="44"/>
                <w:sz w:val="24"/>
                <w:szCs w:val="24"/>
              </w:rPr>
            </w:pPr>
            <w:r>
              <w:rPr>
                <w:rFonts w:hint="eastAsia" w:ascii="仿宋_GB2312" w:hAnsi="仿宋_GB2312" w:eastAsia="仿宋_GB2312" w:cs="仿宋_GB2312"/>
                <w:sz w:val="24"/>
                <w:szCs w:val="24"/>
                <w:lang w:val="en-US" w:eastAsia="zh-CN"/>
              </w:rPr>
              <w:t>2.开展</w:t>
            </w:r>
            <w:r>
              <w:rPr>
                <w:rFonts w:hint="eastAsia" w:ascii="仿宋_GB2312" w:hAnsi="仿宋_GB2312" w:eastAsia="仿宋_GB2312" w:cs="仿宋_GB2312"/>
                <w:color w:val="000000"/>
                <w:kern w:val="44"/>
                <w:sz w:val="24"/>
                <w:szCs w:val="24"/>
              </w:rPr>
              <w:t>同国内外经济贸易界、商会协会、贸促机构和其他经贸团体以及有关国际组织的联络工作；</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color w:val="000000"/>
                <w:kern w:val="44"/>
                <w:sz w:val="24"/>
                <w:szCs w:val="24"/>
                <w:lang w:eastAsia="zh-CN"/>
              </w:rPr>
            </w:pPr>
            <w:r>
              <w:rPr>
                <w:rFonts w:hint="eastAsia" w:ascii="仿宋_GB2312" w:hAnsi="仿宋_GB2312" w:eastAsia="仿宋_GB2312" w:cs="仿宋_GB2312"/>
                <w:color w:val="000000"/>
                <w:kern w:val="44"/>
                <w:sz w:val="24"/>
                <w:szCs w:val="24"/>
                <w:lang w:val="en-US" w:eastAsia="zh-CN"/>
              </w:rPr>
              <w:t>3.</w:t>
            </w:r>
            <w:r>
              <w:rPr>
                <w:rFonts w:hint="eastAsia" w:ascii="仿宋_GB2312" w:hAnsi="仿宋_GB2312" w:eastAsia="仿宋_GB2312" w:cs="仿宋_GB2312"/>
                <w:color w:val="000000"/>
                <w:kern w:val="44"/>
                <w:sz w:val="24"/>
                <w:szCs w:val="24"/>
                <w:lang w:eastAsia="zh-CN"/>
              </w:rPr>
              <w:t>进行有关经贸信息的收集与发布；</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color w:val="000000"/>
                <w:kern w:val="44"/>
                <w:sz w:val="24"/>
                <w:szCs w:val="24"/>
                <w:lang w:eastAsia="zh-CN"/>
              </w:rPr>
            </w:pPr>
            <w:r>
              <w:rPr>
                <w:rFonts w:hint="eastAsia" w:ascii="仿宋_GB2312" w:hAnsi="仿宋_GB2312" w:eastAsia="仿宋_GB2312" w:cs="仿宋_GB2312"/>
                <w:color w:val="000000"/>
                <w:kern w:val="44"/>
                <w:sz w:val="24"/>
                <w:szCs w:val="24"/>
                <w:lang w:val="en-US" w:eastAsia="zh-CN"/>
              </w:rPr>
              <w:t>4.</w:t>
            </w:r>
            <w:r>
              <w:rPr>
                <w:rFonts w:hint="eastAsia" w:ascii="仿宋_GB2312" w:hAnsi="仿宋_GB2312" w:eastAsia="仿宋_GB2312" w:cs="仿宋_GB2312"/>
                <w:color w:val="000000"/>
                <w:kern w:val="44"/>
                <w:sz w:val="24"/>
                <w:szCs w:val="24"/>
              </w:rPr>
              <w:t>组织君山区企业、团体在境内外举办经贸展览会和参加国际博览会、专业性展览会等</w:t>
            </w:r>
            <w:r>
              <w:rPr>
                <w:rFonts w:hint="eastAsia" w:ascii="仿宋_GB2312" w:hAnsi="仿宋_GB2312" w:eastAsia="仿宋_GB2312" w:cs="仿宋_GB2312"/>
                <w:color w:val="000000"/>
                <w:kern w:val="4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hint="eastAsia" w:ascii="仿宋_GB2312" w:hAnsi="仿宋_GB2312" w:eastAsia="仿宋_GB2312" w:cs="仿宋_GB2312"/>
                <w:color w:val="000000"/>
                <w:kern w:val="44"/>
                <w:sz w:val="24"/>
                <w:szCs w:val="24"/>
                <w:lang w:eastAsia="zh-CN"/>
              </w:rPr>
            </w:pPr>
            <w:r>
              <w:rPr>
                <w:rFonts w:hint="eastAsia" w:ascii="仿宋_GB2312" w:hAnsi="仿宋_GB2312" w:eastAsia="仿宋_GB2312" w:cs="仿宋_GB2312"/>
                <w:color w:val="000000"/>
                <w:kern w:val="44"/>
                <w:sz w:val="24"/>
                <w:szCs w:val="24"/>
                <w:lang w:val="en-US" w:eastAsia="zh-CN"/>
              </w:rPr>
              <w:t>5.</w:t>
            </w:r>
            <w:r>
              <w:rPr>
                <w:rFonts w:hint="eastAsia" w:ascii="仿宋_GB2312" w:hAnsi="仿宋_GB2312" w:eastAsia="仿宋_GB2312" w:cs="仿宋_GB2312"/>
                <w:color w:val="000000"/>
                <w:kern w:val="44"/>
                <w:sz w:val="24"/>
                <w:szCs w:val="24"/>
                <w:lang w:eastAsia="zh-CN"/>
              </w:rPr>
              <w:t>帮助企业办理对外商事法律证书、</w:t>
            </w:r>
            <w:r>
              <w:rPr>
                <w:rFonts w:hint="eastAsia" w:ascii="仿宋_GB2312" w:hAnsi="仿宋_GB2312" w:eastAsia="仿宋_GB2312" w:cs="仿宋_GB2312"/>
                <w:color w:val="000000"/>
                <w:kern w:val="44"/>
                <w:sz w:val="24"/>
                <w:szCs w:val="24"/>
              </w:rPr>
              <w:t>组织涉外商事法律方面的对外交流活动</w:t>
            </w:r>
            <w:r>
              <w:rPr>
                <w:rFonts w:hint="eastAsia" w:ascii="仿宋_GB2312" w:hAnsi="仿宋_GB2312" w:eastAsia="仿宋_GB2312" w:cs="仿宋_GB2312"/>
                <w:color w:val="000000"/>
                <w:kern w:val="44"/>
                <w:sz w:val="24"/>
                <w:szCs w:val="24"/>
                <w:lang w:eastAsia="zh-CN"/>
              </w:rPr>
              <w:t>、</w:t>
            </w:r>
            <w:r>
              <w:rPr>
                <w:rFonts w:hint="eastAsia" w:ascii="仿宋_GB2312" w:hAnsi="仿宋_GB2312" w:eastAsia="仿宋_GB2312" w:cs="仿宋_GB2312"/>
                <w:color w:val="000000"/>
                <w:kern w:val="44"/>
                <w:sz w:val="24"/>
                <w:szCs w:val="24"/>
              </w:rPr>
              <w:t>对企业进行国际商事法律业务培训</w:t>
            </w:r>
            <w:r>
              <w:rPr>
                <w:rFonts w:hint="eastAsia" w:ascii="仿宋_GB2312" w:hAnsi="仿宋_GB2312" w:eastAsia="仿宋_GB2312" w:cs="仿宋_GB2312"/>
                <w:color w:val="000000"/>
                <w:kern w:val="4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40" w:firstLineChars="225"/>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kern w:val="44"/>
                <w:sz w:val="24"/>
                <w:szCs w:val="24"/>
                <w:lang w:val="en-US" w:eastAsia="zh-CN"/>
              </w:rPr>
              <w:t>6.</w:t>
            </w:r>
            <w:r>
              <w:rPr>
                <w:rFonts w:hint="eastAsia" w:ascii="仿宋_GB2312" w:hAnsi="仿宋_GB2312" w:eastAsia="仿宋_GB2312" w:cs="仿宋_GB2312"/>
                <w:color w:val="000000"/>
                <w:kern w:val="44"/>
                <w:sz w:val="24"/>
                <w:szCs w:val="24"/>
              </w:rPr>
              <w:t>在全区范围发展和管理</w:t>
            </w:r>
            <w:r>
              <w:rPr>
                <w:rFonts w:hint="eastAsia" w:ascii="仿宋_GB2312" w:hAnsi="仿宋_GB2312" w:eastAsia="仿宋_GB2312" w:cs="仿宋_GB2312"/>
                <w:color w:val="000000"/>
                <w:kern w:val="44"/>
                <w:sz w:val="24"/>
                <w:szCs w:val="24"/>
                <w:lang w:eastAsia="zh-CN"/>
              </w:rPr>
              <w:t>岳阳国际商会</w:t>
            </w:r>
            <w:r>
              <w:rPr>
                <w:rFonts w:hint="eastAsia" w:ascii="仿宋_GB2312" w:hAnsi="仿宋_GB2312" w:eastAsia="仿宋_GB2312" w:cs="仿宋_GB2312"/>
                <w:color w:val="000000"/>
                <w:kern w:val="44"/>
                <w:sz w:val="24"/>
                <w:szCs w:val="24"/>
              </w:rPr>
              <w:t>会员</w:t>
            </w:r>
            <w:r>
              <w:rPr>
                <w:rFonts w:hint="eastAsia" w:ascii="仿宋_GB2312" w:hAnsi="仿宋_GB2312" w:eastAsia="仿宋_GB2312" w:cs="仿宋_GB2312"/>
                <w:color w:val="000000"/>
                <w:kern w:val="44"/>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按要求服务发展</w:t>
            </w:r>
            <w:r>
              <w:rPr>
                <w:rFonts w:hint="eastAsia" w:ascii="仿宋_GB2312" w:hAnsi="仿宋_GB2312" w:eastAsia="仿宋_GB2312" w:cs="仿宋_GB2312"/>
                <w:color w:val="000000"/>
                <w:sz w:val="24"/>
                <w:lang w:val="en-US" w:eastAsia="zh-CN"/>
              </w:rPr>
              <w:t>国际商会会员企业。</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协助区委、区人民政府组织经贸洽谈、招商引资及其他形式的促进经贸交流与合作。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根据君山区对外经贸工作的需求，拟定年度出国参展和办展的工作计划，组织企业计划性参展。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szCs w:val="24"/>
                <w:lang w:val="en-US" w:eastAsia="zh-CN"/>
              </w:rPr>
              <w:t>2021年是“十四五”开局之年，也是君山区经济社会发展的关键之年。在全年的工作中，君山区贸促会坚决贯彻落实省、市、区各项部署要求，以全区“一城四区”建设为工作中心，确立全年贸促工作重点，发挥贸促职能作用,有效促进了贸促工作“上档进位”，推动了招商工作“全面发展”，为君山区经济建设高质量发展和“农文旅体”大融合建设贡献了贸促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59.36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59.36</w:t>
            </w: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59.36</w:t>
            </w: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59.36</w:t>
            </w: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59.36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20.82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38.54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59.36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20.82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38.54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服务和发展</w:t>
            </w:r>
            <w:r>
              <w:rPr>
                <w:rFonts w:hint="eastAsia" w:ascii="仿宋_GB2312" w:hAnsi="仿宋_GB2312" w:eastAsia="仿宋_GB2312" w:cs="仿宋_GB2312"/>
                <w:color w:val="000000"/>
                <w:sz w:val="24"/>
                <w:lang w:val="en-US" w:eastAsia="zh-CN"/>
              </w:rPr>
              <w:t>家国际商会会员企业</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拟定参展计划，组织企业参展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协助区委、区政府进行经贸活动</w:t>
            </w:r>
          </w:p>
        </w:tc>
        <w:tc>
          <w:tcPr>
            <w:tcW w:w="4585" w:type="dxa"/>
            <w:gridSpan w:val="9"/>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加强我区招商引资宣传推广</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组织参与我区重大活动，并取得良好效果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spacing w:line="320" w:lineRule="exact"/>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3：针对重点招商项目进行商贸洽谈</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发展国际商会会员企业</w:t>
            </w:r>
            <w:r>
              <w:rPr>
                <w:rFonts w:hint="eastAsia" w:ascii="仿宋_GB2312" w:hAnsi="仿宋_GB2312" w:eastAsia="仿宋_GB2312" w:cs="仿宋_GB2312"/>
                <w:color w:val="000000"/>
                <w:sz w:val="24"/>
                <w:lang w:val="en-US" w:eastAsia="zh-CN"/>
              </w:rPr>
              <w:t>1家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组织企业参加专业展会</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3：对接客商来区考察20次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2021年1-12月</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严格按照八项规定控制接待标准</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指标1：未</w:t>
            </w:r>
            <w:r>
              <w:rPr>
                <w:rFonts w:hint="eastAsia" w:ascii="仿宋_GB2312" w:eastAsia="仿宋_GB2312"/>
                <w:color w:val="000000"/>
                <w:kern w:val="0"/>
                <w:sz w:val="20"/>
                <w:szCs w:val="20"/>
              </w:rPr>
              <w:t>发生负面社会舆情情况</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通过引进项目提升君山品牌形象</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指标1：解决劳动力，拉动了本地消费，增加工资收入</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服务企业，绿色发展</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服务对象满意度</w:t>
            </w:r>
            <w:r>
              <w:rPr>
                <w:rFonts w:hint="eastAsia" w:ascii="仿宋_GB2312" w:hAnsi="仿宋_GB2312" w:eastAsia="仿宋_GB2312" w:cs="仿宋_GB2312"/>
                <w:color w:val="000000"/>
                <w:sz w:val="24"/>
                <w:lang w:val="en-US" w:eastAsia="zh-CN"/>
              </w:rPr>
              <w:t>100%</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王骏阳</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区贸促会</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杨可可</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副会长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区贸促会</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江 婷</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区投促中心主任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区贸促会</w:t>
            </w:r>
          </w:p>
        </w:tc>
        <w:tc>
          <w:tcPr>
            <w:tcW w:w="3106"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12" w:firstLineChars="200"/>
              <w:rPr>
                <w:rFonts w:hint="eastAsia" w:ascii="仿宋_GB2312" w:hAnsi="仿宋_GB2312" w:eastAsia="仿宋_GB2312" w:cs="仿宋_GB2312"/>
                <w:bCs/>
                <w:sz w:val="28"/>
                <w:szCs w:val="28"/>
              </w:rPr>
            </w:pPr>
            <w:r>
              <w:rPr>
                <w:rFonts w:hint="eastAsia" w:ascii="仿宋_GB2312" w:hAnsi="Arial" w:eastAsia="仿宋_GB2312" w:cs="Arial"/>
                <w:color w:val="auto"/>
                <w:spacing w:val="8"/>
                <w:sz w:val="24"/>
                <w:szCs w:val="24"/>
              </w:rPr>
              <w:t>贸促会</w:t>
            </w:r>
            <w:r>
              <w:rPr>
                <w:rFonts w:hint="eastAsia" w:ascii="仿宋_GB2312" w:hAnsi="Arial" w:eastAsia="仿宋_GB2312" w:cs="Arial"/>
                <w:color w:val="auto"/>
                <w:spacing w:val="8"/>
                <w:sz w:val="24"/>
                <w:szCs w:val="24"/>
                <w:lang w:eastAsia="zh-CN"/>
              </w:rPr>
              <w:t>为正科级事业管理单位</w:t>
            </w:r>
            <w:r>
              <w:rPr>
                <w:rFonts w:hint="eastAsia" w:ascii="仿宋_GB2312" w:hAnsi="Arial" w:eastAsia="仿宋_GB2312" w:cs="Arial"/>
                <w:color w:val="auto"/>
                <w:spacing w:val="8"/>
                <w:sz w:val="24"/>
                <w:szCs w:val="24"/>
                <w:lang w:val="en-US" w:eastAsia="zh-CN"/>
              </w:rPr>
              <w:t>，</w:t>
            </w:r>
            <w:r>
              <w:rPr>
                <w:rFonts w:hint="eastAsia" w:ascii="仿宋_GB2312" w:hAnsi="仿宋_GB2312" w:eastAsia="仿宋_GB2312" w:cs="仿宋_GB2312"/>
                <w:sz w:val="24"/>
                <w:szCs w:val="24"/>
                <w:lang w:val="en-US" w:eastAsia="zh-CN"/>
              </w:rPr>
              <w:t>内设办公室（法律事务部）、会务部（国际展览部）两个机构。主要负责：园区外的招商；开展</w:t>
            </w:r>
            <w:r>
              <w:rPr>
                <w:rFonts w:hint="eastAsia" w:ascii="仿宋_GB2312" w:hAnsi="仿宋_GB2312" w:eastAsia="仿宋_GB2312" w:cs="仿宋_GB2312"/>
                <w:color w:val="000000"/>
                <w:kern w:val="44"/>
                <w:sz w:val="24"/>
                <w:szCs w:val="24"/>
              </w:rPr>
              <w:t>同国内外经济贸易界、商会协会、贸促机构和其他经贸团体以及有关国际组织的联络工作；</w:t>
            </w:r>
            <w:r>
              <w:rPr>
                <w:rFonts w:hint="eastAsia" w:ascii="仿宋_GB2312" w:hAnsi="仿宋_GB2312" w:eastAsia="仿宋_GB2312" w:cs="仿宋_GB2312"/>
                <w:color w:val="000000"/>
                <w:kern w:val="44"/>
                <w:sz w:val="24"/>
                <w:szCs w:val="24"/>
                <w:lang w:eastAsia="zh-CN"/>
              </w:rPr>
              <w:t>进行有关经贸信息的收集与发布；</w:t>
            </w:r>
            <w:r>
              <w:rPr>
                <w:rFonts w:hint="eastAsia" w:ascii="仿宋_GB2312" w:hAnsi="仿宋_GB2312" w:eastAsia="仿宋_GB2312" w:cs="仿宋_GB2312"/>
                <w:color w:val="000000"/>
                <w:kern w:val="44"/>
                <w:sz w:val="24"/>
                <w:szCs w:val="24"/>
              </w:rPr>
              <w:t>组织君山区企业、团体在境内外举办经贸展览会和参加国际博览会、专业性展览会等</w:t>
            </w:r>
            <w:r>
              <w:rPr>
                <w:rFonts w:hint="eastAsia" w:ascii="仿宋_GB2312" w:hAnsi="仿宋_GB2312" w:eastAsia="仿宋_GB2312" w:cs="仿宋_GB2312"/>
                <w:color w:val="000000"/>
                <w:kern w:val="44"/>
                <w:sz w:val="24"/>
                <w:szCs w:val="24"/>
                <w:lang w:eastAsia="zh-CN"/>
              </w:rPr>
              <w:t>；帮助企业办理对外商事法律证书、</w:t>
            </w:r>
            <w:r>
              <w:rPr>
                <w:rFonts w:hint="eastAsia" w:ascii="仿宋_GB2312" w:hAnsi="仿宋_GB2312" w:eastAsia="仿宋_GB2312" w:cs="仿宋_GB2312"/>
                <w:color w:val="000000"/>
                <w:kern w:val="44"/>
                <w:sz w:val="24"/>
                <w:szCs w:val="24"/>
              </w:rPr>
              <w:t>组织涉外商事法律方面的对外交流活动</w:t>
            </w:r>
            <w:r>
              <w:rPr>
                <w:rFonts w:hint="eastAsia" w:ascii="仿宋_GB2312" w:hAnsi="仿宋_GB2312" w:eastAsia="仿宋_GB2312" w:cs="仿宋_GB2312"/>
                <w:color w:val="000000"/>
                <w:kern w:val="44"/>
                <w:sz w:val="24"/>
                <w:szCs w:val="24"/>
                <w:lang w:eastAsia="zh-CN"/>
              </w:rPr>
              <w:t>、</w:t>
            </w:r>
            <w:r>
              <w:rPr>
                <w:rFonts w:hint="eastAsia" w:ascii="仿宋_GB2312" w:hAnsi="仿宋_GB2312" w:eastAsia="仿宋_GB2312" w:cs="仿宋_GB2312"/>
                <w:color w:val="000000"/>
                <w:kern w:val="44"/>
                <w:sz w:val="24"/>
                <w:szCs w:val="24"/>
              </w:rPr>
              <w:t>对企业进行国际商事法律业务培训</w:t>
            </w:r>
            <w:r>
              <w:rPr>
                <w:rFonts w:hint="eastAsia" w:ascii="仿宋_GB2312" w:hAnsi="仿宋_GB2312" w:eastAsia="仿宋_GB2312" w:cs="仿宋_GB2312"/>
                <w:color w:val="000000"/>
                <w:kern w:val="44"/>
                <w:sz w:val="24"/>
                <w:szCs w:val="24"/>
                <w:lang w:eastAsia="zh-CN"/>
              </w:rPr>
              <w:t>；</w:t>
            </w:r>
            <w:r>
              <w:rPr>
                <w:rFonts w:hint="eastAsia" w:ascii="仿宋_GB2312" w:hAnsi="仿宋_GB2312" w:eastAsia="仿宋_GB2312" w:cs="仿宋_GB2312"/>
                <w:color w:val="000000"/>
                <w:kern w:val="44"/>
                <w:sz w:val="24"/>
                <w:szCs w:val="24"/>
              </w:rPr>
              <w:t>在全区范围发展和管理</w:t>
            </w:r>
            <w:r>
              <w:rPr>
                <w:rFonts w:hint="eastAsia" w:ascii="仿宋_GB2312" w:hAnsi="仿宋_GB2312" w:eastAsia="仿宋_GB2312" w:cs="仿宋_GB2312"/>
                <w:color w:val="000000"/>
                <w:kern w:val="44"/>
                <w:sz w:val="24"/>
                <w:szCs w:val="24"/>
                <w:lang w:eastAsia="zh-CN"/>
              </w:rPr>
              <w:t>岳阳国际商会</w:t>
            </w:r>
            <w:r>
              <w:rPr>
                <w:rFonts w:hint="eastAsia" w:ascii="仿宋_GB2312" w:hAnsi="仿宋_GB2312" w:eastAsia="仿宋_GB2312" w:cs="仿宋_GB2312"/>
                <w:color w:val="000000"/>
                <w:kern w:val="44"/>
                <w:sz w:val="24"/>
                <w:szCs w:val="24"/>
              </w:rPr>
              <w:t>会员</w:t>
            </w:r>
            <w:r>
              <w:rPr>
                <w:rFonts w:hint="eastAsia" w:ascii="仿宋_GB2312" w:hAnsi="仿宋_GB2312" w:eastAsia="仿宋_GB2312" w:cs="仿宋_GB2312"/>
                <w:color w:val="000000"/>
                <w:kern w:val="44"/>
                <w:sz w:val="24"/>
                <w:szCs w:val="24"/>
                <w:lang w:eastAsia="zh-CN"/>
              </w:rPr>
              <w:t>。</w:t>
            </w:r>
            <w:r>
              <w:rPr>
                <w:rFonts w:hint="eastAsia" w:ascii="仿宋_GB2312" w:hAnsi="Arial" w:eastAsia="仿宋_GB2312" w:cs="Arial"/>
                <w:color w:val="auto"/>
                <w:spacing w:val="8"/>
                <w:sz w:val="24"/>
                <w:szCs w:val="24"/>
                <w:lang w:eastAsia="zh-CN"/>
              </w:rPr>
              <w:t>截止</w:t>
            </w:r>
            <w:r>
              <w:rPr>
                <w:rFonts w:hint="eastAsia" w:ascii="仿宋_GB2312" w:hAnsi="Arial" w:eastAsia="仿宋_GB2312" w:cs="Arial"/>
                <w:color w:val="auto"/>
                <w:spacing w:val="8"/>
                <w:sz w:val="24"/>
                <w:szCs w:val="24"/>
                <w:lang w:val="en-US" w:eastAsia="zh-CN"/>
              </w:rPr>
              <w:t>2021年底，</w:t>
            </w:r>
            <w:r>
              <w:rPr>
                <w:rFonts w:hint="eastAsia" w:ascii="仿宋_GB2312" w:hAnsi="Arial" w:eastAsia="仿宋_GB2312" w:cs="Arial"/>
                <w:color w:val="auto"/>
                <w:spacing w:val="8"/>
                <w:sz w:val="24"/>
                <w:szCs w:val="24"/>
              </w:rPr>
              <w:t>单位共有</w:t>
            </w:r>
            <w:r>
              <w:rPr>
                <w:rFonts w:hint="eastAsia" w:ascii="仿宋_GB2312" w:hAnsi="Arial" w:eastAsia="仿宋_GB2312" w:cs="Arial"/>
                <w:color w:val="auto"/>
                <w:spacing w:val="8"/>
                <w:sz w:val="24"/>
                <w:szCs w:val="24"/>
                <w:lang w:eastAsia="zh-CN"/>
              </w:rPr>
              <w:t>人员</w:t>
            </w:r>
            <w:r>
              <w:rPr>
                <w:rFonts w:hint="eastAsia" w:ascii="仿宋_GB2312" w:hAnsi="Arial" w:eastAsia="仿宋_GB2312" w:cs="Arial"/>
                <w:color w:val="auto"/>
                <w:spacing w:val="8"/>
                <w:sz w:val="24"/>
                <w:szCs w:val="24"/>
              </w:rPr>
              <w:t>3</w:t>
            </w:r>
            <w:r>
              <w:rPr>
                <w:rFonts w:hint="eastAsia" w:ascii="仿宋_GB2312" w:hAnsi="Arial" w:eastAsia="仿宋_GB2312" w:cs="Arial"/>
                <w:color w:val="auto"/>
                <w:spacing w:val="8"/>
                <w:sz w:val="24"/>
                <w:szCs w:val="24"/>
                <w:lang w:eastAsia="zh-CN"/>
              </w:rPr>
              <w:t>名</w:t>
            </w:r>
            <w:r>
              <w:rPr>
                <w:rFonts w:hint="eastAsia" w:ascii="仿宋_GB2312" w:hAnsi="Arial" w:eastAsia="仿宋_GB2312" w:cs="Arial"/>
                <w:color w:val="auto"/>
                <w:spacing w:val="8"/>
                <w:sz w:val="24"/>
                <w:szCs w:val="24"/>
              </w:rPr>
              <w:t>，在编人数2人，编外人员1名。</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4"/>
                <w:szCs w:val="24"/>
                <w:lang w:val="en-US" w:eastAsia="zh-CN"/>
              </w:rPr>
              <w:t>2021年贸促会整体支出59.36万元，基本支出20.82万元（其中，人员支出18.68万元，其他支出2.14万元），专项支出38.54万元。基本支出主要用于人员工资福利及日常办公开支，专项支出主要用于国际商会企业管理、重大经贸活动、寓外乡友平台搭建、招商接待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480" w:firstLineChars="200"/>
              <w:rPr>
                <w:rFonts w:hint="eastAsia" w:ascii="仿宋_GB2312" w:hAnsi="仿宋_GB2312" w:eastAsia="仿宋_GB2312" w:cs="仿宋_GB2312"/>
                <w:i w:val="0"/>
                <w:caps w:val="0"/>
                <w:color w:val="auto"/>
                <w:spacing w:val="0"/>
                <w:sz w:val="24"/>
                <w:szCs w:val="24"/>
                <w:shd w:val="clear" w:fill="FFFFFF"/>
              </w:rPr>
            </w:pPr>
            <w:r>
              <w:rPr>
                <w:rFonts w:hint="eastAsia" w:ascii="仿宋_GB2312" w:hAnsi="仿宋_GB2312" w:eastAsia="仿宋_GB2312" w:cs="仿宋_GB2312"/>
                <w:i w:val="0"/>
                <w:caps w:val="0"/>
                <w:color w:val="auto"/>
                <w:spacing w:val="0"/>
                <w:sz w:val="24"/>
                <w:szCs w:val="24"/>
                <w:shd w:val="clear" w:fill="FFFFFF"/>
              </w:rPr>
              <w:t>基本支出是保障</w:t>
            </w:r>
            <w:r>
              <w:rPr>
                <w:rFonts w:hint="eastAsia" w:ascii="仿宋_GB2312" w:hAnsi="仿宋_GB2312" w:eastAsia="仿宋_GB2312" w:cs="仿宋_GB2312"/>
                <w:i w:val="0"/>
                <w:caps w:val="0"/>
                <w:color w:val="auto"/>
                <w:spacing w:val="0"/>
                <w:sz w:val="24"/>
                <w:szCs w:val="24"/>
                <w:shd w:val="clear" w:fill="FFFFFF"/>
                <w:lang w:eastAsia="zh-CN"/>
              </w:rPr>
              <w:t>本单位</w:t>
            </w:r>
            <w:r>
              <w:rPr>
                <w:rFonts w:hint="eastAsia" w:ascii="仿宋_GB2312" w:hAnsi="仿宋_GB2312" w:eastAsia="仿宋_GB2312" w:cs="仿宋_GB2312"/>
                <w:i w:val="0"/>
                <w:caps w:val="0"/>
                <w:color w:val="auto"/>
                <w:spacing w:val="0"/>
                <w:sz w:val="24"/>
                <w:szCs w:val="24"/>
                <w:shd w:val="clear" w:fill="FFFFFF"/>
              </w:rPr>
              <w:t>机构正常运转、完成日常工作任务而发生的各项支出，包括用于在职和离退休人员基本工资、津贴补贴等人员经费以及办公费、印刷费、水电费、办公设备购置等日常公用经费。</w:t>
            </w:r>
          </w:p>
          <w:p>
            <w:pPr>
              <w:spacing w:line="560" w:lineRule="exact"/>
              <w:ind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仿宋_GB2312" w:hAnsi="仿宋_GB2312" w:eastAsia="仿宋_GB2312" w:cs="仿宋_GB2312"/>
                <w:i w:val="0"/>
                <w:caps w:val="0"/>
                <w:color w:val="auto"/>
                <w:spacing w:val="0"/>
                <w:sz w:val="24"/>
                <w:szCs w:val="24"/>
                <w:shd w:val="clear" w:fill="FFFFFF"/>
                <w:lang w:val="en-US" w:eastAsia="zh-CN"/>
              </w:rPr>
              <w:t>2021年贸促会基本支出20.82万元，其中，人员支出18.68万元，其他支出2.14万元。</w:t>
            </w:r>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spacing w:line="560" w:lineRule="exact"/>
              <w:ind w:firstLine="56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color w:val="auto"/>
                <w:sz w:val="24"/>
                <w:szCs w:val="24"/>
                <w:lang w:eastAsia="zh-CN"/>
              </w:rPr>
              <w:t>专项</w:t>
            </w:r>
            <w:r>
              <w:rPr>
                <w:rFonts w:hint="eastAsia" w:ascii="仿宋_GB2312" w:hAnsi="仿宋_GB2312" w:eastAsia="仿宋_GB2312" w:cs="仿宋_GB2312"/>
                <w:color w:val="auto"/>
                <w:sz w:val="24"/>
                <w:szCs w:val="24"/>
              </w:rPr>
              <w:t>支出是在基本支出之外为完成其特定的行政工作任务而发生的支出</w:t>
            </w:r>
            <w:r>
              <w:rPr>
                <w:rFonts w:hint="eastAsia" w:ascii="仿宋_GB2312" w:hAnsi="仿宋_GB2312" w:eastAsia="仿宋_GB2312" w:cs="仿宋_GB2312"/>
                <w:i w:val="0"/>
                <w:caps w:val="0"/>
                <w:color w:val="auto"/>
                <w:spacing w:val="0"/>
                <w:sz w:val="24"/>
                <w:szCs w:val="24"/>
                <w:shd w:val="clear" w:fill="FFFFFF"/>
              </w:rPr>
              <w:t>，</w:t>
            </w:r>
            <w:r>
              <w:rPr>
                <w:rFonts w:hint="eastAsia" w:ascii="仿宋_GB2312" w:hAnsi="仿宋_GB2312" w:eastAsia="仿宋_GB2312" w:cs="仿宋_GB2312"/>
                <w:color w:val="auto"/>
                <w:sz w:val="24"/>
                <w:szCs w:val="24"/>
              </w:rPr>
              <w:t>主要用于业务工作专项、运行维护专项等。</w:t>
            </w:r>
          </w:p>
          <w:p>
            <w:pPr>
              <w:spacing w:line="560" w:lineRule="exact"/>
              <w:ind w:firstLine="48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color w:val="auto"/>
                <w:sz w:val="24"/>
                <w:szCs w:val="24"/>
                <w:lang w:val="en-US" w:eastAsia="zh-CN"/>
              </w:rPr>
              <w:t>2021年预算安排专项资金15万元，年中调整23.54万元，全年收入合计38.54万元。全年决算实际支出数为38.54万元，主要由于国际商会企业活动减少、重要节会展会活动减少</w:t>
            </w:r>
            <w:r>
              <w:rPr>
                <w:rFonts w:hint="eastAsia" w:ascii="仿宋_GB2312" w:hAnsi="仿宋_GB2312" w:eastAsia="仿宋_GB2312" w:cs="仿宋_GB2312"/>
                <w:color w:val="auto"/>
                <w:spacing w:val="8"/>
                <w:sz w:val="24"/>
                <w:szCs w:val="24"/>
              </w:rPr>
              <w:t>，</w:t>
            </w:r>
            <w:r>
              <w:rPr>
                <w:rFonts w:hint="eastAsia" w:ascii="仿宋_GB2312" w:hAnsi="仿宋_GB2312" w:eastAsia="仿宋_GB2312" w:cs="仿宋_GB2312"/>
                <w:color w:val="auto"/>
                <w:spacing w:val="8"/>
                <w:sz w:val="24"/>
                <w:szCs w:val="24"/>
                <w:lang w:eastAsia="zh-CN"/>
              </w:rPr>
              <w:t>减少</w:t>
            </w:r>
            <w:r>
              <w:rPr>
                <w:rFonts w:hint="eastAsia" w:ascii="仿宋_GB2312" w:hAnsi="仿宋_GB2312" w:eastAsia="仿宋_GB2312" w:cs="仿宋_GB2312"/>
                <w:color w:val="auto"/>
                <w:spacing w:val="8"/>
                <w:sz w:val="24"/>
                <w:szCs w:val="24"/>
              </w:rPr>
              <w:t>了</w:t>
            </w:r>
            <w:r>
              <w:rPr>
                <w:rFonts w:hint="eastAsia" w:ascii="仿宋_GB2312" w:hAnsi="仿宋_GB2312" w:eastAsia="仿宋_GB2312" w:cs="仿宋_GB2312"/>
                <w:color w:val="auto"/>
                <w:spacing w:val="8"/>
                <w:sz w:val="24"/>
                <w:szCs w:val="24"/>
                <w:lang w:eastAsia="zh-CN"/>
              </w:rPr>
              <w:t>专</w:t>
            </w:r>
            <w:r>
              <w:rPr>
                <w:rFonts w:hint="eastAsia" w:ascii="仿宋_GB2312" w:hAnsi="仿宋_GB2312" w:eastAsia="仿宋_GB2312" w:cs="仿宋_GB2312"/>
                <w:color w:val="auto"/>
                <w:spacing w:val="8"/>
                <w:sz w:val="24"/>
                <w:szCs w:val="24"/>
              </w:rPr>
              <w:t>项经费收支</w:t>
            </w:r>
            <w:bookmarkStart w:id="0" w:name="_GoBack"/>
            <w:bookmarkEnd w:id="0"/>
            <w:r>
              <w:rPr>
                <w:rFonts w:hint="eastAsia" w:ascii="仿宋_GB2312" w:hAnsi="仿宋_GB2312" w:eastAsia="仿宋_GB2312" w:cs="仿宋_GB2312"/>
                <w:color w:val="auto"/>
                <w:spacing w:val="8"/>
                <w:sz w:val="24"/>
                <w:szCs w:val="24"/>
              </w:rPr>
              <w:t>。</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ind w:firstLine="56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2021年根据财政预算资金安排，贸促会根据实际情况进行了开支，并以强有效的措施促进工作取得突破。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1.专项调研培训工作。</w:t>
            </w:r>
            <w:r>
              <w:rPr>
                <w:rFonts w:hint="eastAsia" w:ascii="仿宋_GB2312" w:hAnsi="仿宋_GB2312" w:eastAsia="仿宋_GB2312" w:cs="仿宋_GB2312"/>
                <w:sz w:val="24"/>
                <w:szCs w:val="24"/>
                <w:lang w:val="en-US" w:eastAsia="zh-CN"/>
              </w:rPr>
              <w:t>3月，组织我区外贸企业神冈、致远等公司参加商事证及原产地证办理业务培训，帮助企业打通对外发展的脉络，增强企业自身竞争力，更好的应对国际市场；5月，在市贸促会的指导下开展“稳外贸、稳外资”企业服务走访调研活动，从企业外贸业务的开展、外贸物流通道及外贸面临的问题等多个方面了解企业发展的情况并提出解决方案；6月，联合市贸促会开展直播电商发展专题调研，摸清了全区直播电商发展情况和面临的困难，针对直播电商难点提出解决方案并加以落实；8月，组织思博尔参加中国贸促会组织的RCEP（区域全面经济伙伴关系协定）政策解读，利用线上培训，进一步帮助企业更有效的利用政策，了解国际区域间的行业经济形势，帮助企业在现行国际贸易形势下开拓市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2.展会节会工作。</w:t>
            </w:r>
            <w:r>
              <w:rPr>
                <w:rFonts w:hint="eastAsia" w:ascii="仿宋_GB2312" w:hAnsi="仿宋_GB2312" w:eastAsia="仿宋_GB2312" w:cs="仿宋_GB2312"/>
                <w:sz w:val="24"/>
                <w:szCs w:val="24"/>
                <w:lang w:val="en-US" w:eastAsia="zh-CN"/>
              </w:rPr>
              <w:t>3月，组织人仁食品参加了2021武汉良之隆食材展；4月，组织和净新材料参加了中国上海劳动保护用品交易会；5月，组织君山银针参加了哈尔滨春季茶叶博览会；6月，组织国泰食品参加了烟台东亚国际食品展；7月，组织君山银针参加了呼和浩特茶产业博览会；9月，组织国泰食品、舌尖洞庭参加良之隆2021第四届中国湘菜食材电商节，组织金联星参加上海第十六届铝展；10月，组织君山银针、嘉联食品参加岳阳市第二届湖南（岳阳）口岸经贸博览会。在展会上，</w:t>
            </w:r>
            <w:r>
              <w:rPr>
                <w:rFonts w:hint="eastAsia" w:ascii="仿宋_GB2312" w:hAnsi="仿宋_GB2312" w:eastAsia="仿宋_GB2312" w:cs="仿宋_GB2312"/>
                <w:color w:val="000000"/>
                <w:spacing w:val="15"/>
                <w:sz w:val="24"/>
                <w:szCs w:val="24"/>
                <w:lang w:val="en-US" w:eastAsia="zh-CN"/>
              </w:rPr>
              <w:t>通过</w:t>
            </w:r>
            <w:r>
              <w:rPr>
                <w:rFonts w:hint="eastAsia" w:ascii="仿宋_GB2312" w:hAnsi="仿宋_GB2312" w:eastAsia="仿宋_GB2312" w:cs="仿宋_GB2312"/>
                <w:sz w:val="24"/>
                <w:szCs w:val="24"/>
                <w:lang w:val="en-US" w:eastAsia="zh-CN"/>
              </w:rPr>
              <w:t>布展宣传、发放资料、参加经贸活动、联系各类媒体等</w:t>
            </w:r>
            <w:r>
              <w:rPr>
                <w:rFonts w:hint="eastAsia" w:ascii="仿宋_GB2312" w:hAnsi="仿宋_GB2312" w:eastAsia="仿宋_GB2312" w:cs="仿宋_GB2312"/>
                <w:color w:val="000000"/>
                <w:spacing w:val="15"/>
                <w:sz w:val="24"/>
                <w:szCs w:val="24"/>
                <w:lang w:val="en-US" w:eastAsia="zh-CN"/>
              </w:rPr>
              <w:t>手段和渠道，积极</w:t>
            </w:r>
            <w:r>
              <w:rPr>
                <w:rFonts w:hint="eastAsia" w:ascii="仿宋_GB2312" w:hAnsi="仿宋_GB2312" w:eastAsia="仿宋_GB2312" w:cs="仿宋_GB2312"/>
                <w:sz w:val="24"/>
                <w:szCs w:val="24"/>
                <w:lang w:val="en-US" w:eastAsia="zh-CN"/>
              </w:rPr>
              <w:t>帮助企业进行品牌宣传推广，提升企业产品的知名度和品牌影响力，进一步帮助我区企业打开了市场，仅君山银针在呼和浩特茶博会现场就签订订单约100万元。同时，还为我区君山银针及国泰食品两家企业向上申报市场开拓资金参展补贴26388元，极大的减轻了企业参展负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3.招商引资工作。</w:t>
            </w:r>
            <w:r>
              <w:rPr>
                <w:rFonts w:hint="eastAsia" w:ascii="仿宋_GB2312" w:hAnsi="仿宋_GB2312" w:eastAsia="仿宋_GB2312" w:cs="仿宋_GB2312"/>
                <w:sz w:val="24"/>
                <w:szCs w:val="24"/>
                <w:lang w:val="en-US" w:eastAsia="zh-CN"/>
              </w:rPr>
              <w:t>全年共对接上海、广东、重庆等全国各地50余批次客商，重点对接了多弗集团、奥特莱斯（中国）、锦江集团、中海盛源、长沙汉创新材料、重庆新天泽集团、中冶建设、中南建设、黑金斛酒业、新疆天地集团等国内有实力的投资商。全年引进签约落地项目2个：由锦江集团和岳阳西泽商贸公司投资3亿元，建设的岳阳丽芮五星级酒店项目；由多弗集团投资100亿元建设的多弗君山文旅小镇项目，已签订框架协议。</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、存在的主要问题</w:t>
            </w:r>
          </w:p>
          <w:p>
            <w:pPr>
              <w:widowControl/>
              <w:spacing w:line="480" w:lineRule="auto"/>
              <w:ind w:firstLine="48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1.预算编制不够准确，财务管理工作水平有待进一步加强。</w:t>
            </w:r>
          </w:p>
          <w:p>
            <w:pPr>
              <w:widowControl/>
              <w:spacing w:line="480" w:lineRule="auto"/>
              <w:ind w:firstLine="48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2.会计基础工作还需不断完善。</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五</w:t>
            </w:r>
            <w:r>
              <w:rPr>
                <w:rFonts w:hint="eastAsia" w:ascii="黑体" w:hAnsi="黑体" w:eastAsia="黑体" w:cs="黑体"/>
                <w:bCs/>
                <w:sz w:val="28"/>
                <w:szCs w:val="28"/>
              </w:rPr>
              <w:t>、改进措施和有关建议</w:t>
            </w:r>
          </w:p>
          <w:p>
            <w:pPr>
              <w:widowControl/>
              <w:spacing w:line="480" w:lineRule="auto"/>
              <w:ind w:firstLine="48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1.建立健全科学的预算体</w:t>
            </w:r>
            <w:r>
              <w:rPr>
                <w:rFonts w:hint="eastAsia" w:ascii="仿宋_GB2312" w:hAnsi="仿宋_GB2312" w:eastAsia="仿宋_GB2312" w:cs="仿宋_GB2312"/>
                <w:color w:val="auto"/>
                <w:sz w:val="24"/>
                <w:szCs w:val="24"/>
                <w:lang w:eastAsia="zh-CN"/>
              </w:rPr>
              <w:t>系</w:t>
            </w:r>
            <w:r>
              <w:rPr>
                <w:rFonts w:hint="eastAsia" w:ascii="仿宋_GB2312" w:hAnsi="仿宋_GB2312" w:eastAsia="仿宋_GB2312" w:cs="仿宋_GB2312"/>
                <w:color w:val="auto"/>
                <w:sz w:val="24"/>
                <w:szCs w:val="24"/>
              </w:rPr>
              <w:t>，不断提高财政资金使用效益。</w:t>
            </w:r>
          </w:p>
          <w:p>
            <w:pPr>
              <w:widowControl/>
              <w:spacing w:line="480" w:lineRule="auto"/>
              <w:ind w:firstLine="48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2.财务工作人员进一步加强学习，提高业务水平。</w:t>
            </w:r>
          </w:p>
          <w:p>
            <w:pPr>
              <w:rPr>
                <w:rFonts w:eastAsia="楷体_GB2312"/>
                <w:bCs/>
                <w:sz w:val="28"/>
                <w:szCs w:val="28"/>
              </w:rPr>
            </w:pPr>
          </w:p>
        </w:tc>
      </w:tr>
    </w:tbl>
    <w:p>
      <w:pPr>
        <w:rPr>
          <w:rFonts w:eastAsia="楷体_GB2312"/>
          <w:bCs/>
          <w:sz w:val="28"/>
          <w:szCs w:val="28"/>
        </w:rPr>
      </w:pPr>
      <w:r>
        <w:rPr>
          <w:rFonts w:eastAsia="楷体_GB2312"/>
          <w:bCs/>
          <w:sz w:val="28"/>
          <w:szCs w:val="28"/>
        </w:rPr>
        <w:br w:type="page"/>
      </w:r>
    </w:p>
    <w:p>
      <w:pPr>
        <w:rPr>
          <w:rFonts w:eastAsia="楷体_GB2312"/>
          <w:bCs/>
          <w:sz w:val="28"/>
          <w:szCs w:val="28"/>
        </w:rPr>
      </w:pPr>
    </w:p>
    <w:p>
      <w:pPr>
        <w:spacing w:before="312" w:beforeLines="100" w:after="312"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rPr>
          <w:rFonts w:eastAsia="楷体_GB2312"/>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Pr>
                          </w:pPr>
                          <w:r>
                            <w:rPr>
                              <w:rStyle w:val="5"/>
                              <w:rFonts w:hint="eastAsia"/>
                            </w:rPr>
                            <w:t xml:space="preserve">— </w:t>
                          </w:r>
                          <w:r>
                            <w:fldChar w:fldCharType="begin"/>
                          </w:r>
                          <w:r>
                            <w:rPr>
                              <w:rStyle w:val="5"/>
                            </w:rPr>
                            <w:instrText xml:space="preserve">PAGE  </w:instrText>
                          </w:r>
                          <w:r>
                            <w:fldChar w:fldCharType="separate"/>
                          </w:r>
                          <w:r>
                            <w:rPr>
                              <w:rStyle w:val="5"/>
                            </w:rPr>
                            <w:t>4</w:t>
                          </w:r>
                          <w:r>
                            <w:fldChar w:fldCharType="end"/>
                          </w:r>
                          <w:r>
                            <w:rPr>
                              <w:rStyle w:val="5"/>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Style w:val="5"/>
                      </w:rPr>
                    </w:pPr>
                    <w:r>
                      <w:rPr>
                        <w:rStyle w:val="5"/>
                        <w:rFonts w:hint="eastAsia"/>
                      </w:rPr>
                      <w:t xml:space="preserve">— </w:t>
                    </w:r>
                    <w:r>
                      <w:fldChar w:fldCharType="begin"/>
                    </w:r>
                    <w:r>
                      <w:rPr>
                        <w:rStyle w:val="5"/>
                      </w:rPr>
                      <w:instrText xml:space="preserve">PAGE  </w:instrText>
                    </w:r>
                    <w:r>
                      <w:fldChar w:fldCharType="separate"/>
                    </w:r>
                    <w:r>
                      <w:rPr>
                        <w:rStyle w:val="5"/>
                      </w:rPr>
                      <w:t>4</w:t>
                    </w:r>
                    <w:r>
                      <w:fldChar w:fldCharType="end"/>
                    </w:r>
                    <w:r>
                      <w:rPr>
                        <w:rStyle w:val="5"/>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3F7251"/>
    <w:multiLevelType w:val="singleLevel"/>
    <w:tmpl w:val="353F7251"/>
    <w:lvl w:ilvl="0" w:tentative="0">
      <w:start w:val="2"/>
      <w:numFmt w:val="chineseCounting"/>
      <w:suff w:val="nothing"/>
      <w:lvlText w:val="（%1）"/>
      <w:lvlJc w:val="left"/>
      <w:rPr>
        <w:rFonts w:hint="eastAsia"/>
      </w:rPr>
    </w:lvl>
  </w:abstractNum>
  <w:abstractNum w:abstractNumId="1">
    <w:nsid w:val="4C113D2C"/>
    <w:multiLevelType w:val="singleLevel"/>
    <w:tmpl w:val="4C113D2C"/>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MmIyMmY4OGRjMjMyOTMwYWI3MTdjYTExNzUzMWMifQ=="/>
  </w:docVars>
  <w:rsids>
    <w:rsidRoot w:val="7D412C74"/>
    <w:rsid w:val="03112362"/>
    <w:rsid w:val="031B2C7F"/>
    <w:rsid w:val="0FC8490C"/>
    <w:rsid w:val="25E60A73"/>
    <w:rsid w:val="2EEB434C"/>
    <w:rsid w:val="39F634E7"/>
    <w:rsid w:val="3F29599F"/>
    <w:rsid w:val="4541761C"/>
    <w:rsid w:val="48983B12"/>
    <w:rsid w:val="4E8C7B5A"/>
    <w:rsid w:val="505038AD"/>
    <w:rsid w:val="5BD801FA"/>
    <w:rsid w:val="694840F0"/>
    <w:rsid w:val="6BB070A6"/>
    <w:rsid w:val="72AD3CED"/>
    <w:rsid w:val="784F55D0"/>
    <w:rsid w:val="7D412C74"/>
    <w:rsid w:val="7E1F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customStyle="1" w:styleId="5">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4992</Words>
  <Characters>5315</Characters>
  <Lines>0</Lines>
  <Paragraphs>0</Paragraphs>
  <TotalTime>5</TotalTime>
  <ScaleCrop>false</ScaleCrop>
  <LinksUpToDate>false</LinksUpToDate>
  <CharactersWithSpaces>5795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2022-07-21T02:09:00Z</dcterms:created>
  <dc:creator>Administrator</dc:creator>
  <cp:lastModifiedBy>Administrator</cp:lastModifiedBy>
  <cp:lastPrinted>2022-07-27T03:17:00Z</cp:lastPrinted>
  <dcterms:modified xsi:type="dcterms:W3CDTF">2022-09-26T02:49:51Z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A24D686CE09E49ECBB2D2B928F4741DD</vt:lpwstr>
  </property>
</Properties>
</file>