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君山区20</w:t>
      </w:r>
      <w:r>
        <w:rPr>
          <w:rFonts w:hint="eastAsia" w:eastAsia="方正小标宋简体"/>
          <w:bCs/>
          <w:sz w:val="46"/>
          <w:szCs w:val="46"/>
          <w:lang w:val="en-US" w:eastAsia="zh-CN"/>
        </w:rPr>
        <w:t>22</w:t>
      </w:r>
      <w:r>
        <w:rPr>
          <w:rFonts w:hint="eastAsia" w:eastAsia="方正小标宋简体"/>
          <w:bCs/>
          <w:sz w:val="46"/>
          <w:szCs w:val="46"/>
        </w:rPr>
        <w:t>年度部门（单位）整体支出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156" w:beforeLines="50" w:line="348" w:lineRule="auto"/>
        <w:ind w:firstLine="476" w:firstLineChars="150"/>
        <w:rPr>
          <w:rFonts w:hint="default" w:eastAsia="仿宋_GB2312"/>
          <w:sz w:val="32"/>
          <w:szCs w:val="32"/>
          <w:u w:val="single"/>
          <w:lang w:val="en-US" w:eastAsia="zh-CN"/>
        </w:rPr>
      </w:pPr>
      <w:r>
        <w:rPr>
          <w:rFonts w:hint="eastAsia" w:eastAsia="仿宋_GB2312"/>
          <w:sz w:val="32"/>
          <w:szCs w:val="32"/>
        </w:rPr>
        <w:t>部门(单位)名称：</w:t>
      </w:r>
      <w:r>
        <w:rPr>
          <w:rFonts w:hint="eastAsia" w:eastAsia="仿宋_GB2312"/>
          <w:sz w:val="32"/>
          <w:szCs w:val="32"/>
          <w:lang w:val="en-US" w:eastAsia="zh-CN"/>
        </w:rPr>
        <w:t>岳阳市君山区农业农村局</w:t>
      </w:r>
    </w:p>
    <w:p>
      <w:pPr>
        <w:spacing w:before="156" w:beforeLines="50" w:line="348" w:lineRule="auto"/>
        <w:ind w:firstLine="476" w:firstLineChars="150"/>
        <w:rPr>
          <w:rFonts w:hint="default"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30"/>
          <w:sz w:val="32"/>
          <w:szCs w:val="32"/>
          <w:lang w:val="en-US" w:eastAsia="zh-CN"/>
        </w:rPr>
        <w:t>144001</w:t>
      </w:r>
    </w:p>
    <w:p>
      <w:pPr>
        <w:spacing w:before="156"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156"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eastAsia="仿宋_GB2312"/>
          <w:sz w:val="32"/>
        </w:rPr>
      </w:pPr>
    </w:p>
    <w:p>
      <w:pPr>
        <w:spacing w:line="348" w:lineRule="auto"/>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 xml:space="preserve">报告日期： </w:t>
      </w:r>
      <w:r>
        <w:rPr>
          <w:rFonts w:hint="eastAsia" w:eastAsia="仿宋_GB2312"/>
          <w:sz w:val="32"/>
          <w:lang w:val="en-US" w:eastAsia="zh-CN"/>
        </w:rPr>
        <w:t>2023</w:t>
      </w:r>
      <w:r>
        <w:rPr>
          <w:rFonts w:hint="eastAsia" w:eastAsia="仿宋_GB2312"/>
          <w:sz w:val="32"/>
        </w:rPr>
        <w:t xml:space="preserve">  年  </w:t>
      </w:r>
      <w:r>
        <w:rPr>
          <w:rFonts w:hint="eastAsia" w:eastAsia="仿宋_GB2312"/>
          <w:sz w:val="32"/>
          <w:lang w:val="en-US" w:eastAsia="zh-CN"/>
        </w:rPr>
        <w:t>7</w:t>
      </w:r>
      <w:r>
        <w:rPr>
          <w:rFonts w:hint="eastAsia" w:eastAsia="仿宋_GB2312"/>
          <w:sz w:val="32"/>
        </w:rPr>
        <w:t xml:space="preserve"> 月  </w:t>
      </w:r>
      <w:r>
        <w:rPr>
          <w:rFonts w:hint="eastAsia" w:eastAsia="仿宋_GB2312"/>
          <w:sz w:val="32"/>
          <w:lang w:val="en-US" w:eastAsia="zh-CN"/>
        </w:rPr>
        <w:t>13</w:t>
      </w:r>
      <w:bookmarkStart w:id="0" w:name="_GoBack"/>
      <w:bookmarkEnd w:id="0"/>
      <w:r>
        <w:rPr>
          <w:rFonts w:hint="eastAsia" w:eastAsia="仿宋_GB2312"/>
          <w:sz w:val="32"/>
        </w:rPr>
        <w:t xml:space="preserve"> 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君山区财政</w:t>
      </w:r>
      <w:r>
        <w:rPr>
          <w:rFonts w:hint="eastAsia" w:eastAsia="仿宋_GB2312"/>
          <w:sz w:val="32"/>
          <w:szCs w:val="32"/>
        </w:rPr>
        <w:t>局（制）</w:t>
      </w:r>
    </w:p>
    <w:tbl>
      <w:tblPr>
        <w:tblStyle w:val="9"/>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135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熊劼</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0730-8178793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5"/>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4"/>
            <w:noWrap w:val="0"/>
            <w:vAlign w:val="center"/>
          </w:tcPr>
          <w:p>
            <w:pPr>
              <w:widowControl w:val="0"/>
              <w:autoSpaceDN w:val="0"/>
              <w:spacing w:after="0" w:line="580" w:lineRule="exact"/>
              <w:jc w:val="both"/>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区农业农村局主要承担承担着全区种植业、养殖业、农业产业化、乡镇企</w:t>
            </w:r>
          </w:p>
          <w:p>
            <w:pPr>
              <w:widowControl w:val="0"/>
              <w:autoSpaceDN w:val="0"/>
              <w:spacing w:after="0" w:line="580" w:lineRule="exact"/>
              <w:jc w:val="both"/>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业、农机监管和农村生态能源建设、管理农业科技，促进农业发展等有关管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理职责。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任务1：积极推进美丽乡村和农村环境整治工作                                 任务2：农产品质量安全监管</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任务3：提高农业生产基础设施水平，稳定发展粮食生产</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任务4：持续推进禁捕退捕工作任务</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任务5：</w:t>
            </w:r>
            <w:r>
              <w:rPr>
                <w:rFonts w:hint="eastAsia" w:ascii="仿宋_GB2312" w:hAnsi="仿宋_GB2312" w:eastAsia="仿宋_GB2312" w:cs="仿宋_GB2312"/>
                <w:color w:val="000000"/>
                <w:sz w:val="24"/>
              </w:rPr>
              <w:t xml:space="preserve">巩固“两不愁三保障”成果情况                                     </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任务6：</w:t>
            </w:r>
            <w:r>
              <w:rPr>
                <w:rFonts w:hint="eastAsia" w:ascii="仿宋_GB2312" w:hAnsi="仿宋_GB2312" w:eastAsia="仿宋_GB2312" w:cs="仿宋_GB2312"/>
                <w:color w:val="000000"/>
                <w:sz w:val="24"/>
              </w:rPr>
              <w:t>农业机械管理</w:t>
            </w:r>
          </w:p>
          <w:p>
            <w:pPr>
              <w:pStyle w:val="2"/>
              <w:ind w:left="0" w:leftChars="0" w:firstLine="0" w:firstLineChars="0"/>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任务7：</w:t>
            </w:r>
            <w:r>
              <w:rPr>
                <w:rFonts w:hint="eastAsia" w:ascii="仿宋_GB2312" w:hAnsi="仿宋_GB2312" w:eastAsia="仿宋_GB2312" w:cs="仿宋_GB2312"/>
                <w:color w:val="000000"/>
                <w:sz w:val="24"/>
              </w:rPr>
              <w:t>完成省级下达的棉花区试试种任务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4"/>
            <w:noWrap w:val="0"/>
            <w:vAlign w:val="center"/>
          </w:tcPr>
          <w:p>
            <w:pPr>
              <w:keepNext w:val="0"/>
              <w:keepLines w:val="0"/>
              <w:pageBreakBefore w:val="0"/>
              <w:widowControl w:val="0"/>
              <w:kinsoku/>
              <w:wordWrap/>
              <w:overflowPunct/>
              <w:topLinePunct w:val="0"/>
              <w:autoSpaceDE/>
              <w:autoSpaceDN w:val="0"/>
              <w:bidi w:val="0"/>
              <w:adjustRightInd w:val="0"/>
              <w:snapToGrid/>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p>
          <w:p>
            <w:pPr>
              <w:keepNext w:val="0"/>
              <w:keepLines w:val="0"/>
              <w:pageBreakBefore w:val="0"/>
              <w:widowControl w:val="0"/>
              <w:kinsoku/>
              <w:wordWrap/>
              <w:overflowPunct/>
              <w:topLinePunct w:val="0"/>
              <w:autoSpaceDE/>
              <w:autoSpaceDN w:val="0"/>
              <w:bidi w:val="0"/>
              <w:adjustRightInd w:val="0"/>
              <w:snapToGrid/>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p>
          <w:p>
            <w:pPr>
              <w:keepNext w:val="0"/>
              <w:keepLines w:val="0"/>
              <w:pageBreakBefore w:val="0"/>
              <w:widowControl w:val="0"/>
              <w:kinsoku/>
              <w:wordWrap/>
              <w:overflowPunct/>
              <w:topLinePunct w:val="0"/>
              <w:autoSpaceDE/>
              <w:autoSpaceDN w:val="0"/>
              <w:bidi w:val="0"/>
              <w:adjustRightInd w:val="0"/>
              <w:snapToGrid/>
              <w:spacing w:line="320" w:lineRule="exact"/>
              <w:ind w:firstLine="480" w:firstLineChars="20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2022年，</w:t>
            </w:r>
            <w:r>
              <w:rPr>
                <w:rFonts w:hint="eastAsia" w:ascii="仿宋_GB2312" w:hAnsi="仿宋_GB2312" w:eastAsia="仿宋_GB2312" w:cs="仿宋_GB2312"/>
                <w:color w:val="000000"/>
                <w:sz w:val="24"/>
                <w:lang w:eastAsia="zh-CN"/>
              </w:rPr>
              <w:t>在区委区政府的坚强领导下，有效应对疫情和旱灾影响，农业农村工作稳中加固、稳中向好：稳定粮食生产</w:t>
            </w:r>
            <w:r>
              <w:rPr>
                <w:rFonts w:hint="eastAsia" w:ascii="仿宋_GB2312" w:hAnsi="仿宋_GB2312" w:eastAsia="仿宋_GB2312" w:cs="仿宋_GB2312"/>
                <w:color w:val="000000"/>
                <w:sz w:val="24"/>
                <w:lang w:val="en-US" w:eastAsia="zh-CN"/>
              </w:rPr>
              <w:t>，粮食综合产能不断提升；</w:t>
            </w:r>
            <w:r>
              <w:rPr>
                <w:rFonts w:hint="eastAsia" w:ascii="仿宋_GB2312" w:hAnsi="仿宋_GB2312" w:eastAsia="仿宋_GB2312" w:cs="仿宋_GB2312"/>
                <w:color w:val="000000"/>
                <w:sz w:val="24"/>
                <w:lang w:eastAsia="zh-CN"/>
              </w:rPr>
              <w:t>守住了不发生规模性返贫的底线；禁捕退捕</w:t>
            </w:r>
            <w:r>
              <w:rPr>
                <w:rFonts w:hint="eastAsia" w:ascii="仿宋_GB2312" w:hAnsi="仿宋_GB2312" w:eastAsia="仿宋_GB2312" w:cs="仿宋_GB2312"/>
                <w:color w:val="000000"/>
                <w:sz w:val="24"/>
                <w:lang w:val="en-US" w:eastAsia="zh-CN"/>
              </w:rPr>
              <w:t>典型做法被主流媒体</w:t>
            </w:r>
            <w:r>
              <w:rPr>
                <w:rFonts w:hint="eastAsia" w:ascii="仿宋_GB2312" w:hAnsi="仿宋_GB2312" w:eastAsia="仿宋_GB2312" w:cs="仿宋_GB2312"/>
                <w:color w:val="000000"/>
                <w:sz w:val="24"/>
                <w:lang w:eastAsia="zh-CN"/>
              </w:rPr>
              <w:t>重磅推介；</w:t>
            </w:r>
            <w:r>
              <w:rPr>
                <w:rFonts w:hint="eastAsia" w:ascii="仿宋_GB2312" w:hAnsi="仿宋_GB2312" w:eastAsia="仿宋_GB2312" w:cs="仿宋_GB2312"/>
                <w:color w:val="000000"/>
                <w:sz w:val="24"/>
                <w:lang w:val="en-US" w:eastAsia="zh-CN"/>
              </w:rPr>
              <w:t>8个涉农</w:t>
            </w:r>
            <w:r>
              <w:rPr>
                <w:rFonts w:hint="eastAsia" w:ascii="仿宋_GB2312" w:hAnsi="仿宋_GB2312" w:eastAsia="仿宋_GB2312" w:cs="仿宋_GB2312"/>
                <w:color w:val="000000"/>
                <w:sz w:val="24"/>
                <w:lang w:eastAsia="zh-CN"/>
              </w:rPr>
              <w:t>生态环境突出问题完成整改销号；保持全区农业农村稳健发展态势，各项工作稳步推进。</w:t>
            </w:r>
          </w:p>
          <w:p>
            <w:pPr>
              <w:ind w:firstLine="640"/>
              <w:jc w:val="both"/>
              <w:rPr>
                <w:rFonts w:hint="default" w:ascii="仿宋_GB2312" w:hAnsi="仿宋_GB2312" w:eastAsia="仿宋_GB2312" w:cs="仿宋_GB2312"/>
                <w:sz w:val="32"/>
                <w:szCs w:val="32"/>
                <w:lang w:val="en-US" w:eastAsia="zh-CN"/>
              </w:rPr>
            </w:pP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30503.46</w:t>
            </w:r>
          </w:p>
        </w:tc>
        <w:tc>
          <w:tcPr>
            <w:tcW w:w="1355"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16844.77</w:t>
            </w:r>
          </w:p>
        </w:tc>
        <w:tc>
          <w:tcPr>
            <w:tcW w:w="1705"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13658.69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23876.50</w:t>
            </w:r>
          </w:p>
        </w:tc>
        <w:tc>
          <w:tcPr>
            <w:tcW w:w="1355" w:type="dxa"/>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10494.79</w:t>
            </w:r>
          </w:p>
        </w:tc>
        <w:tc>
          <w:tcPr>
            <w:tcW w:w="1705"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13381.72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生态能源服务中心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58.43</w:t>
            </w:r>
          </w:p>
        </w:tc>
        <w:tc>
          <w:tcPr>
            <w:tcW w:w="1355" w:type="dxa"/>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57.10</w:t>
            </w:r>
          </w:p>
        </w:tc>
        <w:tc>
          <w:tcPr>
            <w:tcW w:w="1705"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农业科学研究所</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264.12</w:t>
            </w:r>
          </w:p>
        </w:tc>
        <w:tc>
          <w:tcPr>
            <w:tcW w:w="1355" w:type="dxa"/>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133.26</w:t>
            </w:r>
          </w:p>
        </w:tc>
        <w:tc>
          <w:tcPr>
            <w:tcW w:w="1705"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130.86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4、农业机械服务中心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1731.50</w:t>
            </w:r>
          </w:p>
        </w:tc>
        <w:tc>
          <w:tcPr>
            <w:tcW w:w="1355" w:type="dxa"/>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1596.18</w:t>
            </w:r>
          </w:p>
        </w:tc>
        <w:tc>
          <w:tcPr>
            <w:tcW w:w="1705"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9" w:hRule="atLeast"/>
          <w:jc w:val="center"/>
        </w:trPr>
        <w:tc>
          <w:tcPr>
            <w:tcW w:w="1700" w:type="dxa"/>
            <w:gridSpan w:val="3"/>
            <w:noWrap w:val="0"/>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5、乡村振兴服务中心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4572.91</w:t>
            </w:r>
          </w:p>
        </w:tc>
        <w:tc>
          <w:tcPr>
            <w:tcW w:w="1355" w:type="dxa"/>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4563.44</w:t>
            </w:r>
          </w:p>
        </w:tc>
        <w:tc>
          <w:tcPr>
            <w:tcW w:w="1705"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6"/>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8"/>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vMerge w:val="continue"/>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26449.95</w:t>
            </w:r>
          </w:p>
        </w:tc>
        <w:tc>
          <w:tcPr>
            <w:tcW w:w="1355"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1800.9</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1145.40</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655.49</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24649.05</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4053.52</w:t>
            </w:r>
          </w:p>
        </w:tc>
        <w:tc>
          <w:tcPr>
            <w:tcW w:w="625" w:type="dxa"/>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ascii="仿宋_GB2312" w:hAnsi="仿宋_GB2312" w:eastAsia="仿宋_GB2312" w:cs="仿宋_GB2312"/>
                <w:kern w:val="2"/>
                <w:sz w:val="24"/>
                <w:szCs w:val="24"/>
                <w:lang w:val="en-US" w:eastAsia="zh-CN"/>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19862.96</w:t>
            </w:r>
          </w:p>
        </w:tc>
        <w:tc>
          <w:tcPr>
            <w:tcW w:w="1355"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1294.18</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809.51</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484.67</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18568.78</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4013.54</w:t>
            </w:r>
          </w:p>
        </w:tc>
        <w:tc>
          <w:tcPr>
            <w:tcW w:w="625" w:type="dxa"/>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default" w:ascii="仿宋_GB2312" w:hAnsi="仿宋_GB2312" w:eastAsia="仿宋_GB2312" w:cs="仿宋_GB2312"/>
                <w:kern w:val="2"/>
                <w:sz w:val="24"/>
                <w:szCs w:val="24"/>
                <w:lang w:val="en-US"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生态能源服务中心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58.32</w:t>
            </w:r>
          </w:p>
        </w:tc>
        <w:tc>
          <w:tcPr>
            <w:tcW w:w="1355"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58.32</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42.21</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16.10</w:t>
            </w:r>
          </w:p>
        </w:tc>
        <w:tc>
          <w:tcPr>
            <w:tcW w:w="1080"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0.12</w:t>
            </w:r>
          </w:p>
        </w:tc>
        <w:tc>
          <w:tcPr>
            <w:tcW w:w="625" w:type="dxa"/>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default" w:ascii="仿宋_GB2312" w:hAnsi="仿宋_GB2312" w:eastAsia="仿宋_GB2312" w:cs="仿宋_GB2312"/>
                <w:kern w:val="2"/>
                <w:sz w:val="24"/>
                <w:szCs w:val="24"/>
                <w:lang w:val="en-US" w:eastAsia="zh-CN"/>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农业科学研究所</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225.33</w:t>
            </w:r>
          </w:p>
        </w:tc>
        <w:tc>
          <w:tcPr>
            <w:tcW w:w="1355"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117.99</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91.14</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26.85</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107.34</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38.79</w:t>
            </w:r>
          </w:p>
        </w:tc>
        <w:tc>
          <w:tcPr>
            <w:tcW w:w="625" w:type="dxa"/>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sz w:val="24"/>
                <w:lang w:val="en-US" w:eastAsia="zh-CN"/>
              </w:rPr>
              <w:t>4、农业机械服务中心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1730.43</w:t>
            </w:r>
          </w:p>
        </w:tc>
        <w:tc>
          <w:tcPr>
            <w:tcW w:w="1355"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185.83</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132.86</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52.97</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1544.60</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1.07</w:t>
            </w:r>
          </w:p>
        </w:tc>
        <w:tc>
          <w:tcPr>
            <w:tcW w:w="625" w:type="dxa"/>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sz w:val="24"/>
                <w:lang w:val="en-US" w:eastAsia="zh-CN"/>
              </w:rPr>
              <w:t>5、乡村振兴服务中心</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4572.91</w:t>
            </w:r>
          </w:p>
        </w:tc>
        <w:tc>
          <w:tcPr>
            <w:tcW w:w="135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144.58</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69.68</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74.9</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4428.33</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rPr>
            </w:pPr>
          </w:p>
        </w:tc>
        <w:tc>
          <w:tcPr>
            <w:tcW w:w="625" w:type="dxa"/>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36"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12.82</w:t>
            </w:r>
          </w:p>
        </w:tc>
        <w:tc>
          <w:tcPr>
            <w:tcW w:w="1355"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2.13</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10.69</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425" w:type="dxa"/>
            <w:gridSpan w:val="5"/>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ascii="仿宋_GB2312" w:hAnsi="仿宋_GB2312" w:eastAsia="仿宋_GB2312" w:cs="仿宋_GB2312"/>
                <w:kern w:val="2"/>
                <w:sz w:val="24"/>
                <w:szCs w:val="24"/>
                <w:lang w:val="en-US" w:eastAsia="zh-CN"/>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9.24</w:t>
            </w:r>
          </w:p>
        </w:tc>
        <w:tc>
          <w:tcPr>
            <w:tcW w:w="1355"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2.13</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7.11</w:t>
            </w: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default" w:ascii="仿宋_GB2312" w:hAnsi="仿宋_GB2312" w:eastAsia="仿宋_GB2312" w:cs="仿宋_GB2312"/>
                <w:kern w:val="2"/>
                <w:sz w:val="24"/>
                <w:szCs w:val="24"/>
                <w:lang w:val="en-US"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生态能源服务中心</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default" w:ascii="仿宋_GB2312" w:hAnsi="仿宋_GB2312" w:eastAsia="仿宋_GB2312" w:cs="仿宋_GB2312"/>
                <w:kern w:val="2"/>
                <w:sz w:val="24"/>
                <w:szCs w:val="24"/>
                <w:lang w:val="en-US" w:eastAsia="zh-CN"/>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农业科学研究所</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3.58</w:t>
            </w:r>
          </w:p>
        </w:tc>
        <w:tc>
          <w:tcPr>
            <w:tcW w:w="1355" w:type="dxa"/>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3.58</w:t>
            </w: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sz w:val="24"/>
                <w:lang w:val="en-US" w:eastAsia="zh-CN"/>
              </w:rPr>
              <w:t>4、农业机械服务中心</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sz w:val="24"/>
                <w:lang w:val="en-US" w:eastAsia="zh-CN"/>
              </w:rPr>
              <w:t>5、乡村振兴服务中心</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0"/>
            <w:tcBorders>
              <w:left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3"/>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1877.05</w:t>
            </w:r>
          </w:p>
        </w:tc>
        <w:tc>
          <w:tcPr>
            <w:tcW w:w="2435" w:type="dxa"/>
            <w:gridSpan w:val="3"/>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1877.05</w:t>
            </w:r>
          </w:p>
        </w:tc>
        <w:tc>
          <w:tcPr>
            <w:tcW w:w="3644"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ascii="仿宋_GB2312" w:hAnsi="仿宋_GB2312" w:eastAsia="仿宋_GB2312" w:cs="仿宋_GB2312"/>
                <w:kern w:val="2"/>
                <w:sz w:val="24"/>
                <w:szCs w:val="24"/>
                <w:lang w:val="en-US" w:eastAsia="zh-CN"/>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1806.72</w:t>
            </w:r>
          </w:p>
        </w:tc>
        <w:tc>
          <w:tcPr>
            <w:tcW w:w="2435" w:type="dxa"/>
            <w:gridSpan w:val="3"/>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1806.72</w:t>
            </w:r>
          </w:p>
        </w:tc>
        <w:tc>
          <w:tcPr>
            <w:tcW w:w="3644"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default" w:ascii="仿宋_GB2312" w:hAnsi="仿宋_GB2312" w:eastAsia="仿宋_GB2312" w:cs="仿宋_GB2312"/>
                <w:kern w:val="2"/>
                <w:sz w:val="24"/>
                <w:szCs w:val="24"/>
                <w:lang w:val="en-US"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生态能源服务中心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4.94</w:t>
            </w:r>
          </w:p>
        </w:tc>
        <w:tc>
          <w:tcPr>
            <w:tcW w:w="2435" w:type="dxa"/>
            <w:gridSpan w:val="3"/>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4.94</w:t>
            </w:r>
          </w:p>
        </w:tc>
        <w:tc>
          <w:tcPr>
            <w:tcW w:w="3644"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default" w:ascii="仿宋_GB2312" w:hAnsi="仿宋_GB2312" w:eastAsia="仿宋_GB2312" w:cs="仿宋_GB2312"/>
                <w:kern w:val="2"/>
                <w:sz w:val="24"/>
                <w:szCs w:val="24"/>
                <w:lang w:val="en-US" w:eastAsia="zh-CN"/>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农业科学研究所</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17.00</w:t>
            </w:r>
          </w:p>
        </w:tc>
        <w:tc>
          <w:tcPr>
            <w:tcW w:w="2435" w:type="dxa"/>
            <w:gridSpan w:val="3"/>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17.00</w:t>
            </w:r>
          </w:p>
        </w:tc>
        <w:tc>
          <w:tcPr>
            <w:tcW w:w="3644"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sz w:val="24"/>
                <w:lang w:val="en-US" w:eastAsia="zh-CN"/>
              </w:rPr>
              <w:t>4、农业机械服务中心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34.49</w:t>
            </w:r>
          </w:p>
        </w:tc>
        <w:tc>
          <w:tcPr>
            <w:tcW w:w="2435" w:type="dxa"/>
            <w:gridSpan w:val="3"/>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34.49</w:t>
            </w:r>
          </w:p>
        </w:tc>
        <w:tc>
          <w:tcPr>
            <w:tcW w:w="3644"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sz w:val="24"/>
                <w:lang w:val="en-US" w:eastAsia="zh-CN"/>
              </w:rPr>
              <w:t>5、乡村振兴服务中心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13.90</w:t>
            </w:r>
          </w:p>
        </w:tc>
        <w:tc>
          <w:tcPr>
            <w:tcW w:w="2435" w:type="dxa"/>
            <w:gridSpan w:val="3"/>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13.90</w:t>
            </w:r>
          </w:p>
        </w:tc>
        <w:tc>
          <w:tcPr>
            <w:tcW w:w="3644"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6"/>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3774" w:type="dxa"/>
            <w:gridSpan w:val="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目标1：积极推进美丽乡村和农村环境整治工作                                 目标2：农产品质量安全监管</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目标3：提高农业生产基础设施水平，稳定发展粮食生产</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目标4：持续推进禁捕退捕工作任务</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 xml:space="preserve">巩固“两不愁三保障”成果情况                                     </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农业机械管理</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完成省级下达的棉花区试试种任务</w:t>
            </w:r>
          </w:p>
        </w:tc>
        <w:tc>
          <w:tcPr>
            <w:tcW w:w="4585" w:type="dxa"/>
            <w:gridSpan w:val="9"/>
            <w:noWrap w:val="0"/>
            <w:vAlign w:val="center"/>
          </w:tcPr>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积极推进了美丽乡村和农村环境整治</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农产品质量安全监管、农业机械管理</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提高了农业生产基础设施水平</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稳定粮食生产发展</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守住了不发生规模性返贫的底线</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巩固了</w:t>
            </w:r>
            <w:r>
              <w:rPr>
                <w:rFonts w:hint="eastAsia" w:ascii="仿宋_GB2312" w:hAnsi="仿宋_GB2312" w:eastAsia="仿宋_GB2312" w:cs="仿宋_GB2312"/>
                <w:color w:val="000000"/>
                <w:sz w:val="24"/>
              </w:rPr>
              <w:t>“两不愁三保障”成果情况</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完成了省级下达的棉花区试种任务等</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339" w:type="dxa"/>
            <w:gridSpan w:val="3"/>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627" w:type="dxa"/>
            <w:gridSpan w:val="2"/>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指标1：三公经费控制率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339" w:type="dxa"/>
            <w:gridSpan w:val="3"/>
            <w:vMerge w:val="continue"/>
            <w:noWrap w:val="0"/>
            <w:vAlign w:val="center"/>
          </w:tcPr>
          <w:p>
            <w:pPr>
              <w:autoSpaceDN w:val="0"/>
              <w:spacing w:line="320" w:lineRule="exact"/>
              <w:rPr>
                <w:rFonts w:ascii="仿宋_GB2312" w:hAnsi="仿宋_GB2312" w:eastAsia="仿宋_GB2312" w:cs="仿宋_GB2312"/>
                <w:sz w:val="24"/>
              </w:rPr>
            </w:pPr>
          </w:p>
        </w:tc>
        <w:tc>
          <w:tcPr>
            <w:tcW w:w="1627" w:type="dxa"/>
            <w:gridSpan w:val="2"/>
            <w:vMerge w:val="continue"/>
            <w:noWrap w:val="0"/>
            <w:vAlign w:val="center"/>
          </w:tcPr>
          <w:p>
            <w:pPr>
              <w:spacing w:line="320" w:lineRule="exact"/>
              <w:rPr>
                <w:rFonts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指标2：政府采购执行率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339" w:type="dxa"/>
            <w:gridSpan w:val="3"/>
            <w:vMerge w:val="continue"/>
            <w:noWrap w:val="0"/>
            <w:vAlign w:val="center"/>
          </w:tcPr>
          <w:p>
            <w:pPr>
              <w:autoSpaceDN w:val="0"/>
              <w:spacing w:line="320" w:lineRule="exact"/>
              <w:rPr>
                <w:rFonts w:ascii="仿宋_GB2312" w:hAnsi="仿宋_GB2312" w:eastAsia="仿宋_GB2312" w:cs="仿宋_GB2312"/>
                <w:sz w:val="24"/>
              </w:rPr>
            </w:pPr>
          </w:p>
        </w:tc>
        <w:tc>
          <w:tcPr>
            <w:tcW w:w="1627" w:type="dxa"/>
            <w:gridSpan w:val="2"/>
            <w:vMerge w:val="continue"/>
            <w:noWrap w:val="0"/>
            <w:vAlign w:val="center"/>
          </w:tcPr>
          <w:p>
            <w:pPr>
              <w:spacing w:line="320" w:lineRule="exact"/>
              <w:rPr>
                <w:rFonts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指标3：固定资产利用率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339" w:type="dxa"/>
            <w:gridSpan w:val="3"/>
            <w:vMerge w:val="continue"/>
            <w:noWrap w:val="0"/>
            <w:vAlign w:val="center"/>
          </w:tcPr>
          <w:p>
            <w:pPr>
              <w:autoSpaceDN w:val="0"/>
              <w:spacing w:line="320" w:lineRule="exact"/>
              <w:rPr>
                <w:rFonts w:ascii="仿宋_GB2312" w:hAnsi="仿宋_GB2312" w:eastAsia="仿宋_GB2312" w:cs="仿宋_GB2312"/>
                <w:sz w:val="24"/>
              </w:rPr>
            </w:pPr>
          </w:p>
        </w:tc>
        <w:tc>
          <w:tcPr>
            <w:tcW w:w="1627" w:type="dxa"/>
            <w:gridSpan w:val="2"/>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指标1：财政供养人员控制</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339" w:type="dxa"/>
            <w:gridSpan w:val="3"/>
            <w:vMerge w:val="continue"/>
            <w:noWrap w:val="0"/>
            <w:vAlign w:val="center"/>
          </w:tcPr>
          <w:p>
            <w:pPr>
              <w:autoSpaceDN w:val="0"/>
              <w:spacing w:line="320" w:lineRule="exact"/>
              <w:rPr>
                <w:rFonts w:ascii="仿宋_GB2312" w:hAnsi="仿宋_GB2312" w:eastAsia="仿宋_GB2312" w:cs="仿宋_GB2312"/>
                <w:sz w:val="24"/>
              </w:rPr>
            </w:pPr>
          </w:p>
        </w:tc>
        <w:tc>
          <w:tcPr>
            <w:tcW w:w="1627" w:type="dxa"/>
            <w:gridSpan w:val="2"/>
            <w:vMerge w:val="continue"/>
            <w:noWrap w:val="0"/>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指标2：三公经费变动率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339" w:type="dxa"/>
            <w:gridSpan w:val="3"/>
            <w:vMerge w:val="continue"/>
            <w:noWrap w:val="0"/>
            <w:vAlign w:val="center"/>
          </w:tcPr>
          <w:p>
            <w:pPr>
              <w:autoSpaceDN w:val="0"/>
              <w:spacing w:line="320" w:lineRule="exact"/>
              <w:rPr>
                <w:rFonts w:ascii="仿宋_GB2312" w:hAnsi="仿宋_GB2312" w:eastAsia="仿宋_GB2312" w:cs="仿宋_GB2312"/>
                <w:sz w:val="24"/>
              </w:rPr>
            </w:pPr>
          </w:p>
        </w:tc>
        <w:tc>
          <w:tcPr>
            <w:tcW w:w="1627" w:type="dxa"/>
            <w:gridSpan w:val="2"/>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指标1：资金到位率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339" w:type="dxa"/>
            <w:gridSpan w:val="3"/>
            <w:vMerge w:val="continue"/>
            <w:noWrap w:val="0"/>
            <w:vAlign w:val="center"/>
          </w:tcPr>
          <w:p>
            <w:pPr>
              <w:autoSpaceDN w:val="0"/>
              <w:spacing w:line="320" w:lineRule="exact"/>
              <w:rPr>
                <w:rFonts w:ascii="仿宋_GB2312" w:hAnsi="仿宋_GB2312" w:eastAsia="仿宋_GB2312" w:cs="仿宋_GB2312"/>
                <w:sz w:val="24"/>
              </w:rPr>
            </w:pPr>
          </w:p>
        </w:tc>
        <w:tc>
          <w:tcPr>
            <w:tcW w:w="1627" w:type="dxa"/>
            <w:gridSpan w:val="2"/>
            <w:vMerge w:val="continue"/>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指标2：项目执行及时性</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339" w:type="dxa"/>
            <w:gridSpan w:val="3"/>
            <w:vMerge w:val="continue"/>
            <w:noWrap w:val="0"/>
            <w:vAlign w:val="center"/>
          </w:tcPr>
          <w:p>
            <w:pPr>
              <w:autoSpaceDN w:val="0"/>
              <w:spacing w:line="320" w:lineRule="exact"/>
              <w:rPr>
                <w:rFonts w:ascii="仿宋_GB2312" w:hAnsi="仿宋_GB2312" w:eastAsia="仿宋_GB2312" w:cs="仿宋_GB2312"/>
                <w:sz w:val="24"/>
              </w:rPr>
            </w:pPr>
          </w:p>
        </w:tc>
        <w:tc>
          <w:tcPr>
            <w:tcW w:w="1627"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指标1：财政支出绩效目标</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26449.63万元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339" w:type="dxa"/>
            <w:gridSpan w:val="3"/>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627" w:type="dxa"/>
            <w:gridSpan w:val="2"/>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粮食综合产能</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不断提升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339" w:type="dxa"/>
            <w:gridSpan w:val="3"/>
            <w:vMerge w:val="continue"/>
            <w:noWrap w:val="0"/>
            <w:vAlign w:val="center"/>
          </w:tcPr>
          <w:p>
            <w:pPr>
              <w:autoSpaceDN w:val="0"/>
              <w:spacing w:line="320" w:lineRule="exact"/>
              <w:jc w:val="center"/>
              <w:textAlignment w:val="center"/>
              <w:rPr>
                <w:rFonts w:ascii="仿宋_GB2312" w:hAnsi="仿宋_GB2312" w:eastAsia="仿宋_GB2312" w:cs="仿宋_GB2312"/>
                <w:sz w:val="24"/>
              </w:rPr>
            </w:pPr>
          </w:p>
        </w:tc>
        <w:tc>
          <w:tcPr>
            <w:tcW w:w="1627" w:type="dxa"/>
            <w:gridSpan w:val="2"/>
            <w:vMerge w:val="continue"/>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指标2：改善农田灌溉设施</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339" w:type="dxa"/>
            <w:gridSpan w:val="3"/>
            <w:vMerge w:val="continue"/>
            <w:noWrap w:val="0"/>
            <w:vAlign w:val="center"/>
          </w:tcPr>
          <w:p>
            <w:pPr>
              <w:autoSpaceDN w:val="0"/>
              <w:spacing w:line="320" w:lineRule="exact"/>
              <w:rPr>
                <w:rFonts w:ascii="仿宋_GB2312" w:hAnsi="仿宋_GB2312" w:eastAsia="仿宋_GB2312" w:cs="仿宋_GB2312"/>
                <w:sz w:val="24"/>
              </w:rPr>
            </w:pPr>
          </w:p>
        </w:tc>
        <w:tc>
          <w:tcPr>
            <w:tcW w:w="1627" w:type="dxa"/>
            <w:gridSpan w:val="2"/>
            <w:vMerge w:val="continue"/>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指标3：美丽乡村建设</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339" w:type="dxa"/>
            <w:gridSpan w:val="3"/>
            <w:vMerge w:val="continue"/>
            <w:noWrap w:val="0"/>
            <w:vAlign w:val="center"/>
          </w:tcPr>
          <w:p>
            <w:pPr>
              <w:autoSpaceDN w:val="0"/>
              <w:spacing w:line="320" w:lineRule="exact"/>
              <w:rPr>
                <w:rFonts w:ascii="仿宋_GB2312" w:hAnsi="仿宋_GB2312" w:eastAsia="仿宋_GB2312" w:cs="仿宋_GB2312"/>
                <w:sz w:val="24"/>
              </w:rPr>
            </w:pPr>
          </w:p>
        </w:tc>
        <w:tc>
          <w:tcPr>
            <w:tcW w:w="1627" w:type="dxa"/>
            <w:gridSpan w:val="2"/>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指标1：提高农民收入</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339" w:type="dxa"/>
            <w:gridSpan w:val="3"/>
            <w:vMerge w:val="continue"/>
            <w:noWrap w:val="0"/>
            <w:vAlign w:val="center"/>
          </w:tcPr>
          <w:p>
            <w:pPr>
              <w:autoSpaceDN w:val="0"/>
              <w:spacing w:line="320" w:lineRule="exact"/>
              <w:rPr>
                <w:rFonts w:ascii="仿宋_GB2312" w:hAnsi="仿宋_GB2312" w:eastAsia="仿宋_GB2312" w:cs="仿宋_GB2312"/>
                <w:sz w:val="24"/>
              </w:rPr>
            </w:pPr>
          </w:p>
        </w:tc>
        <w:tc>
          <w:tcPr>
            <w:tcW w:w="162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指标2：降低生产成本</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339" w:type="dxa"/>
            <w:gridSpan w:val="3"/>
            <w:vMerge w:val="continue"/>
            <w:noWrap w:val="0"/>
            <w:vAlign w:val="center"/>
          </w:tcPr>
          <w:p>
            <w:pPr>
              <w:autoSpaceDN w:val="0"/>
              <w:spacing w:line="320" w:lineRule="exact"/>
              <w:rPr>
                <w:rFonts w:ascii="仿宋_GB2312" w:hAnsi="仿宋_GB2312" w:eastAsia="仿宋_GB2312" w:cs="仿宋_GB2312"/>
                <w:sz w:val="24"/>
              </w:rPr>
            </w:pPr>
          </w:p>
        </w:tc>
        <w:tc>
          <w:tcPr>
            <w:tcW w:w="162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指标1：减少农业生产农药化肥用量</w:t>
            </w:r>
          </w:p>
        </w:tc>
        <w:tc>
          <w:tcPr>
            <w:tcW w:w="2684" w:type="dxa"/>
            <w:gridSpan w:val="6"/>
            <w:noWrap w:val="0"/>
            <w:vAlign w:val="top"/>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339" w:type="dxa"/>
            <w:gridSpan w:val="3"/>
            <w:vMerge w:val="continue"/>
            <w:noWrap w:val="0"/>
            <w:vAlign w:val="center"/>
          </w:tcPr>
          <w:p>
            <w:pPr>
              <w:autoSpaceDN w:val="0"/>
              <w:spacing w:line="320" w:lineRule="exact"/>
              <w:rPr>
                <w:rFonts w:ascii="仿宋_GB2312" w:hAnsi="仿宋_GB2312" w:eastAsia="仿宋_GB2312" w:cs="仿宋_GB2312"/>
                <w:sz w:val="24"/>
              </w:rPr>
            </w:pPr>
          </w:p>
        </w:tc>
        <w:tc>
          <w:tcPr>
            <w:tcW w:w="162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秸秆禁烧与综合利用</w:t>
            </w:r>
          </w:p>
        </w:tc>
        <w:tc>
          <w:tcPr>
            <w:tcW w:w="2684" w:type="dxa"/>
            <w:gridSpan w:val="6"/>
            <w:noWrap w:val="0"/>
            <w:vAlign w:val="top"/>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339" w:type="dxa"/>
            <w:gridSpan w:val="3"/>
            <w:vMerge w:val="continue"/>
            <w:noWrap w:val="0"/>
            <w:vAlign w:val="center"/>
          </w:tcPr>
          <w:p>
            <w:pPr>
              <w:autoSpaceDN w:val="0"/>
              <w:spacing w:line="320" w:lineRule="exact"/>
              <w:rPr>
                <w:rFonts w:ascii="仿宋_GB2312" w:hAnsi="仿宋_GB2312" w:eastAsia="仿宋_GB2312" w:cs="仿宋_GB2312"/>
                <w:sz w:val="24"/>
              </w:rPr>
            </w:pPr>
          </w:p>
        </w:tc>
        <w:tc>
          <w:tcPr>
            <w:tcW w:w="162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指标3：减少农村垃圾污染</w:t>
            </w:r>
          </w:p>
        </w:tc>
        <w:tc>
          <w:tcPr>
            <w:tcW w:w="2684" w:type="dxa"/>
            <w:gridSpan w:val="6"/>
            <w:noWrap w:val="0"/>
            <w:vAlign w:val="top"/>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339" w:type="dxa"/>
            <w:gridSpan w:val="3"/>
            <w:vMerge w:val="continue"/>
            <w:noWrap w:val="0"/>
            <w:vAlign w:val="center"/>
          </w:tcPr>
          <w:p>
            <w:pPr>
              <w:autoSpaceDN w:val="0"/>
              <w:spacing w:line="320" w:lineRule="exact"/>
              <w:rPr>
                <w:rFonts w:ascii="仿宋_GB2312" w:hAnsi="仿宋_GB2312" w:eastAsia="仿宋_GB2312" w:cs="仿宋_GB2312"/>
                <w:sz w:val="24"/>
              </w:rPr>
            </w:pPr>
          </w:p>
        </w:tc>
        <w:tc>
          <w:tcPr>
            <w:tcW w:w="162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textAlignment w:val="center"/>
              <w:rPr>
                <w:rFonts w:hint="eastAsia" w:ascii="Times New Roman" w:hAnsi="Times New Roman" w:eastAsia="仿宋_GB2312" w:cs="Times New Roman"/>
                <w:kern w:val="2"/>
                <w:sz w:val="21"/>
                <w:szCs w:val="21"/>
                <w:lang w:val="en-US" w:eastAsia="zh-CN"/>
              </w:rPr>
            </w:pPr>
            <w:r>
              <w:rPr>
                <w:rFonts w:hint="eastAsia" w:ascii="仿宋_GB2312" w:hAnsi="仿宋_GB2312" w:eastAsia="仿宋_GB2312" w:cs="仿宋_GB2312"/>
                <w:color w:val="000000"/>
                <w:sz w:val="24"/>
              </w:rPr>
              <w:t>指标1：社会满意度</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kern w:val="2"/>
                <w:sz w:val="24"/>
                <w:szCs w:val="24"/>
                <w:lang w:val="en-US" w:eastAsia="zh-CN"/>
              </w:rPr>
            </w:pPr>
            <w:r>
              <w:rPr>
                <w:rFonts w:hint="eastAsia" w:ascii="仿宋_GB2312" w:hAnsi="仿宋_GB2312" w:eastAsia="仿宋_GB2312" w:cs="仿宋_GB2312"/>
                <w:b w:val="0"/>
                <w:bCs/>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78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702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78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702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6"/>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黄正洲</w:t>
            </w:r>
          </w:p>
        </w:tc>
        <w:tc>
          <w:tcPr>
            <w:tcW w:w="3561" w:type="dxa"/>
            <w:gridSpan w:val="5"/>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党委书记、局长</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区农业农村局</w:t>
            </w: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高建新</w:t>
            </w:r>
          </w:p>
        </w:tc>
        <w:tc>
          <w:tcPr>
            <w:tcW w:w="3561" w:type="dxa"/>
            <w:gridSpan w:val="5"/>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分管财务副局长</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区农业农村局</w:t>
            </w: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方  兰</w:t>
            </w:r>
          </w:p>
        </w:tc>
        <w:tc>
          <w:tcPr>
            <w:tcW w:w="3561" w:type="dxa"/>
            <w:gridSpan w:val="5"/>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发展计划财务股股长</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区农业农村局</w:t>
            </w: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曹红林</w:t>
            </w:r>
          </w:p>
        </w:tc>
        <w:tc>
          <w:tcPr>
            <w:tcW w:w="3561" w:type="dxa"/>
            <w:gridSpan w:val="5"/>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种植业管理股股长</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区农业农村局</w:t>
            </w: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胡辉平</w:t>
            </w:r>
          </w:p>
        </w:tc>
        <w:tc>
          <w:tcPr>
            <w:tcW w:w="3561" w:type="dxa"/>
            <w:gridSpan w:val="5"/>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农业资源保护与利用股股长</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区农业农村局</w:t>
            </w: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6"/>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6"/>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6"/>
            <w:noWrap w:val="0"/>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财政部门归口业务股室负责人（签章）：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pStyle w:val="2"/>
              <w:jc w:val="left"/>
              <w:rPr>
                <w:rFonts w:hint="eastAsia" w:ascii="仿宋_GB2312" w:hAnsi="仿宋_GB2312" w:eastAsia="仿宋_GB2312" w:cs="仿宋_GB2312"/>
                <w:bCs/>
                <w:kern w:val="2"/>
                <w:sz w:val="28"/>
                <w:szCs w:val="28"/>
                <w:lang w:val="en-US" w:eastAsia="zh-CN"/>
              </w:rPr>
            </w:pPr>
            <w:r>
              <w:rPr>
                <w:rFonts w:hint="eastAsia" w:ascii="仿宋_GB2312" w:hAnsi="仿宋_GB2312" w:eastAsia="仿宋_GB2312" w:cs="仿宋_GB2312"/>
                <w:bCs/>
                <w:kern w:val="2"/>
                <w:sz w:val="28"/>
                <w:szCs w:val="28"/>
                <w:lang w:val="en-US" w:eastAsia="zh-CN"/>
              </w:rPr>
              <w:t>1、岳阳市君山区农业农村局（以下简称区农业农村局）是区人民政府工作部门，对外加挂区扶贫开发办公室牌子，为正科级。区委农村工作领导小组办公室（以下简称区委农办）设在区农业农村局，接受区委农村工作领导小组的直接领导，承担区委农村工作领导小组具体工作。区农业农村局的内设机构根据工作需要承担区委农村工作领导小组办公室相关工作，接受区委农村工作领导小组办公室的统筹协调。内设机构9个：办公室（党建办、区委农办秘书室、行政审批股）；扶贫开发工作股；政策法规股（农机管理股、加挂定点屠宰管理办公室牌子）；发展规划和计划财务股；农村社会事业促进股（乡村产业发展股）；农业资源保护与利用股（农业投资与农田建设股）；农产品质量安全监管股（市场信息化股）；种植业管理股（科技教育和农药管理股）；畜牧兽医和渔业渔政管理股。独立核算二级预算单位包括5个：农业农村局本级（包括渔政管理站、动物卫生监督所）、生态能源服务中心、农业科学研究室、农业机械服务中心、乡村振兴服务中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bCs/>
                <w:kern w:val="2"/>
                <w:sz w:val="28"/>
                <w:szCs w:val="28"/>
                <w:lang w:val="en-US" w:eastAsia="zh-CN"/>
              </w:rPr>
            </w:pPr>
            <w:r>
              <w:rPr>
                <w:rFonts w:hint="eastAsia" w:ascii="仿宋_GB2312" w:hAnsi="仿宋_GB2312" w:eastAsia="仿宋_GB2312" w:cs="仿宋_GB2312"/>
                <w:bCs/>
                <w:kern w:val="2"/>
                <w:sz w:val="28"/>
                <w:szCs w:val="28"/>
                <w:lang w:val="en-US" w:eastAsia="zh-CN"/>
              </w:rPr>
              <w:t>2.主要职能：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bCs/>
                <w:kern w:val="2"/>
                <w:sz w:val="28"/>
                <w:szCs w:val="28"/>
                <w:lang w:val="en-US" w:eastAsia="zh-CN"/>
              </w:rPr>
            </w:pPr>
            <w:r>
              <w:rPr>
                <w:rFonts w:hint="eastAsia" w:ascii="仿宋_GB2312" w:hAnsi="仿宋_GB2312" w:eastAsia="仿宋_GB2312" w:cs="仿宋_GB2312"/>
                <w:bCs/>
                <w:kern w:val="2"/>
                <w:sz w:val="28"/>
                <w:szCs w:val="28"/>
                <w:lang w:val="en-US" w:eastAsia="zh-CN"/>
              </w:rPr>
              <w:t>（1）统筹研究和组织实施“三农”工作的发展中长期规划、重大政策；组织起草农业农村有关规范性文件，指导农业综合执法；参与涉农的财税、价格、收储、金融保险、进出口等政策制定。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bCs/>
                <w:kern w:val="2"/>
                <w:sz w:val="28"/>
                <w:szCs w:val="28"/>
                <w:lang w:val="en-US" w:eastAsia="zh-CN"/>
              </w:rPr>
            </w:pPr>
            <w:r>
              <w:rPr>
                <w:rFonts w:hint="eastAsia" w:ascii="仿宋_GB2312" w:hAnsi="仿宋_GB2312" w:eastAsia="仿宋_GB2312" w:cs="仿宋_GB2312"/>
                <w:bCs/>
                <w:kern w:val="2"/>
                <w:sz w:val="28"/>
                <w:szCs w:val="28"/>
                <w:lang w:val="en-US" w:eastAsia="zh-CN"/>
              </w:rPr>
              <w:t>（2）统筹推动发展农村社会事业、农村公共服务、农村文化、农村基础设施和乡村治理；牵头组织改善农村人居环境；指导农村精神文明和优秀农耕文化建设。指导农业行业安全生产工作。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bCs/>
                <w:kern w:val="2"/>
                <w:sz w:val="28"/>
                <w:szCs w:val="28"/>
                <w:lang w:val="en-US" w:eastAsia="zh-CN"/>
              </w:rPr>
            </w:pPr>
            <w:r>
              <w:rPr>
                <w:rFonts w:hint="eastAsia" w:ascii="仿宋_GB2312" w:hAnsi="仿宋_GB2312" w:eastAsia="仿宋_GB2312" w:cs="仿宋_GB2312"/>
                <w:bCs/>
                <w:kern w:val="2"/>
                <w:sz w:val="28"/>
                <w:szCs w:val="28"/>
                <w:lang w:val="en-US" w:eastAsia="zh-CN"/>
              </w:rPr>
              <w:t>（3）贯彻落实国家关于深化农村经济体制改革和巩固完善农村基本经营制度的政策建议；负责农民承包地、农村宅基地改革和管理有关工作；负责农村集体产权制度改革，指导农村集体经济组织发展和集体资产管理工作；指导农民合作经济组织、农业社会化服务体系、新型农业经营主体建设与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bCs/>
                <w:kern w:val="2"/>
                <w:sz w:val="28"/>
                <w:szCs w:val="28"/>
                <w:lang w:val="en-US" w:eastAsia="zh-CN"/>
              </w:rPr>
            </w:pPr>
            <w:r>
              <w:rPr>
                <w:rFonts w:hint="eastAsia" w:ascii="仿宋_GB2312" w:hAnsi="仿宋_GB2312" w:eastAsia="仿宋_GB2312" w:cs="仿宋_GB2312"/>
                <w:bCs/>
                <w:kern w:val="2"/>
                <w:sz w:val="28"/>
                <w:szCs w:val="28"/>
                <w:lang w:val="en-US" w:eastAsia="zh-CN"/>
              </w:rPr>
              <w:t>（4）指导乡村特色产业、农产品加工业、休闲农业和乡镇企业发展工作；提出促进大宗农产品流通的建议，培育、保护农业品牌；发布农业农村经济信息，监测分析农业农村经济运行；承担农业统计和农业农村信息化有关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bCs/>
                <w:kern w:val="2"/>
                <w:sz w:val="28"/>
                <w:szCs w:val="28"/>
                <w:lang w:val="en-US" w:eastAsia="zh-CN"/>
              </w:rPr>
            </w:pPr>
            <w:r>
              <w:rPr>
                <w:rFonts w:hint="eastAsia" w:ascii="仿宋_GB2312" w:hAnsi="仿宋_GB2312" w:eastAsia="仿宋_GB2312" w:cs="仿宋_GB2312"/>
                <w:bCs/>
                <w:kern w:val="2"/>
                <w:sz w:val="28"/>
                <w:szCs w:val="28"/>
                <w:lang w:val="en-US" w:eastAsia="zh-CN"/>
              </w:rPr>
              <w:t>（5）负责种植业、畜牧业、渔业、农垦、农业机械化等农业各产业的监督管理；指导粮食、油料、畜禽、水产等农产品生产；组织构建现代农业产业体系、生产体系、经营体系，指导农业标准化生产；负责渔政渔港监督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bCs/>
                <w:kern w:val="2"/>
                <w:sz w:val="28"/>
                <w:szCs w:val="28"/>
                <w:lang w:val="en-US" w:eastAsia="zh-CN"/>
              </w:rPr>
            </w:pPr>
            <w:r>
              <w:rPr>
                <w:rFonts w:hint="eastAsia" w:ascii="仿宋_GB2312" w:hAnsi="仿宋_GB2312" w:eastAsia="仿宋_GB2312" w:cs="仿宋_GB2312"/>
                <w:bCs/>
                <w:kern w:val="2"/>
                <w:sz w:val="28"/>
                <w:szCs w:val="28"/>
                <w:lang w:val="en-US" w:eastAsia="zh-CN"/>
              </w:rPr>
              <w:t>（6）负责农产品质量安全监督管理。组织开展农产品质量安全监测、追溯、风险评估，发布农产品质量安全有关信息；贯彻执行农产品质量安全国家标准，参与制定农产品质量安全地方标准并会同有关部门组织实施；指导农业检验检测体系建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bCs/>
                <w:kern w:val="2"/>
                <w:sz w:val="28"/>
                <w:szCs w:val="28"/>
                <w:lang w:val="en-US" w:eastAsia="zh-CN"/>
              </w:rPr>
            </w:pPr>
            <w:r>
              <w:rPr>
                <w:rFonts w:hint="eastAsia" w:ascii="仿宋_GB2312" w:hAnsi="仿宋_GB2312" w:eastAsia="仿宋_GB2312" w:cs="仿宋_GB2312"/>
                <w:bCs/>
                <w:kern w:val="2"/>
                <w:sz w:val="28"/>
                <w:szCs w:val="28"/>
                <w:lang w:val="en-US" w:eastAsia="zh-CN"/>
              </w:rPr>
              <w:t>（7）指导农产品产地环境管理和农业清洁生产；指导设施农业、生态循环农业、节水农业发展以及农村可再生能源综合开发利用、农业生物质产业发展；牵头管理外来物种；配合做好农业资源区划工作。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bCs/>
                <w:kern w:val="2"/>
                <w:sz w:val="28"/>
                <w:szCs w:val="28"/>
                <w:lang w:val="en-US" w:eastAsia="zh-CN"/>
              </w:rPr>
            </w:pPr>
            <w:r>
              <w:rPr>
                <w:rFonts w:hint="eastAsia" w:ascii="仿宋_GB2312" w:hAnsi="仿宋_GB2312" w:eastAsia="仿宋_GB2312" w:cs="仿宋_GB2312"/>
                <w:bCs/>
                <w:kern w:val="2"/>
                <w:sz w:val="28"/>
                <w:szCs w:val="28"/>
                <w:lang w:val="en-US" w:eastAsia="zh-CN"/>
              </w:rPr>
              <w:t>（8）负责有关农业生产资料和农业投入品的监督管理。配合做好农业生产资料市场体系建设；贯彻执行农业生产资料、兽药质量、兽药残留限量和残留检测方法国家标准并监督实施；组织兽医医政、兽药药政药检工作，负责执业兽医和畜禽屠宰行业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bCs/>
                <w:kern w:val="2"/>
                <w:sz w:val="28"/>
                <w:szCs w:val="28"/>
                <w:lang w:val="en-US" w:eastAsia="zh-CN"/>
              </w:rPr>
            </w:pPr>
            <w:r>
              <w:rPr>
                <w:rFonts w:hint="eastAsia" w:ascii="仿宋_GB2312" w:hAnsi="仿宋_GB2312" w:eastAsia="仿宋_GB2312" w:cs="仿宋_GB2312"/>
                <w:bCs/>
                <w:kern w:val="2"/>
                <w:sz w:val="28"/>
                <w:szCs w:val="28"/>
                <w:lang w:val="en-US" w:eastAsia="zh-CN"/>
              </w:rPr>
              <w:t>（9）负责农业防灾减灾、农作物重大病虫害防治工作。指导动植物防疫检疫体系建设，负责动植物防疫检疫工作，发布疫情并组织扑灭；配合有关部门制定血吸虫病防治工作计划并组织实施。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bCs/>
                <w:kern w:val="2"/>
                <w:sz w:val="28"/>
                <w:szCs w:val="28"/>
                <w:lang w:val="en-US" w:eastAsia="zh-CN"/>
              </w:rPr>
            </w:pPr>
            <w:r>
              <w:rPr>
                <w:rFonts w:hint="eastAsia" w:ascii="仿宋_GB2312" w:hAnsi="仿宋_GB2312" w:eastAsia="仿宋_GB2312" w:cs="仿宋_GB2312"/>
                <w:bCs/>
                <w:kern w:val="2"/>
                <w:sz w:val="28"/>
                <w:szCs w:val="28"/>
                <w:lang w:val="en-US" w:eastAsia="zh-CN"/>
              </w:rPr>
              <w:t>（10）负责农业投资管理。编制农业投资项目建设规划，提出农业投资规模和方向、扶持农业农村发展财政项目的建设，按规定权限审批农业投资项目，负责农业投资项目资金安排和监督管理。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bCs/>
                <w:kern w:val="2"/>
                <w:sz w:val="28"/>
                <w:szCs w:val="28"/>
                <w:lang w:val="en-US" w:eastAsia="zh-CN"/>
              </w:rPr>
            </w:pPr>
            <w:r>
              <w:rPr>
                <w:rFonts w:hint="eastAsia" w:ascii="仿宋_GB2312" w:hAnsi="仿宋_GB2312" w:eastAsia="仿宋_GB2312" w:cs="仿宋_GB2312"/>
                <w:bCs/>
                <w:kern w:val="2"/>
                <w:sz w:val="28"/>
                <w:szCs w:val="28"/>
                <w:lang w:val="en-US" w:eastAsia="zh-CN"/>
              </w:rPr>
              <w:t>（11）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bCs/>
                <w:kern w:val="2"/>
                <w:sz w:val="28"/>
                <w:szCs w:val="28"/>
                <w:lang w:val="en-US" w:eastAsia="zh-CN"/>
              </w:rPr>
            </w:pPr>
            <w:r>
              <w:rPr>
                <w:rFonts w:hint="eastAsia" w:ascii="仿宋_GB2312" w:hAnsi="仿宋_GB2312" w:eastAsia="仿宋_GB2312" w:cs="仿宋_GB2312"/>
                <w:bCs/>
                <w:kern w:val="2"/>
                <w:sz w:val="28"/>
                <w:szCs w:val="28"/>
                <w:lang w:val="en-US" w:eastAsia="zh-CN"/>
              </w:rPr>
              <w:t>（12）指导农业农村人才工作。拟订农业农村人才队伍建设规划并组织实施，指导农业教育和农业职业技能开发，指导新型职业农民培育、农业科技人才培养和农村实用人才培训工作。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bCs/>
                <w:kern w:val="2"/>
                <w:sz w:val="28"/>
                <w:szCs w:val="28"/>
                <w:lang w:val="en-US" w:eastAsia="zh-CN"/>
              </w:rPr>
            </w:pPr>
            <w:r>
              <w:rPr>
                <w:rFonts w:hint="eastAsia" w:ascii="仿宋_GB2312" w:hAnsi="仿宋_GB2312" w:eastAsia="仿宋_GB2312" w:cs="仿宋_GB2312"/>
                <w:bCs/>
                <w:kern w:val="2"/>
                <w:sz w:val="28"/>
                <w:szCs w:val="28"/>
                <w:lang w:val="en-US" w:eastAsia="zh-CN"/>
              </w:rPr>
              <w:t>（13）负责全区扶贫开发工作。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bCs/>
                <w:kern w:val="2"/>
                <w:sz w:val="28"/>
                <w:szCs w:val="28"/>
                <w:lang w:val="en-US" w:eastAsia="zh-CN"/>
              </w:rPr>
            </w:pPr>
            <w:r>
              <w:rPr>
                <w:rFonts w:hint="eastAsia" w:ascii="仿宋_GB2312" w:hAnsi="仿宋_GB2312" w:eastAsia="仿宋_GB2312" w:cs="仿宋_GB2312"/>
                <w:bCs/>
                <w:kern w:val="2"/>
                <w:sz w:val="28"/>
                <w:szCs w:val="28"/>
                <w:lang w:val="en-US" w:eastAsia="zh-CN"/>
              </w:rPr>
              <w:t>（14）完成区委、区政府交办的其他任务。</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ind w:firstLine="640"/>
              <w:jc w:val="both"/>
              <w:rPr>
                <w:rFonts w:hint="eastAsia" w:ascii="仿宋_GB2312" w:hAnsi="仿宋_GB2312" w:eastAsia="仿宋_GB2312" w:cs="仿宋_GB2312"/>
                <w:bCs/>
                <w:kern w:val="2"/>
                <w:sz w:val="28"/>
                <w:szCs w:val="28"/>
                <w:lang w:val="en-US" w:eastAsia="zh-CN" w:bidi="ar"/>
              </w:rPr>
            </w:pPr>
            <w:r>
              <w:rPr>
                <w:rFonts w:hint="eastAsia" w:ascii="仿宋_GB2312" w:hAnsi="仿宋_GB2312" w:eastAsia="仿宋_GB2312" w:cs="仿宋_GB2312"/>
                <w:bCs/>
                <w:kern w:val="2"/>
                <w:sz w:val="28"/>
                <w:szCs w:val="28"/>
                <w:lang w:val="en-US" w:eastAsia="zh-CN" w:bidi="ar"/>
              </w:rPr>
              <w:t>2022年农业农村局整体支出共计26449.63万元，其中基本支出1800.57万元，项目支出24649.06万元，主要包括农田建设专项，农业生产发展专项，巩固脱贫衔接乡村振兴专项，农业资源保护修复与利用专项，棉花目标价格补贴等。</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ind w:firstLine="640"/>
              <w:jc w:val="both"/>
              <w:rPr>
                <w:rFonts w:hint="eastAsia" w:ascii="仿宋_GB2312" w:hAnsi="仿宋_GB2312" w:eastAsia="仿宋_GB2312" w:cs="仿宋_GB2312"/>
                <w:bCs/>
                <w:kern w:val="2"/>
                <w:sz w:val="28"/>
                <w:szCs w:val="28"/>
                <w:lang w:val="en-US" w:eastAsia="zh-CN" w:bidi="ar"/>
              </w:rPr>
            </w:pPr>
            <w:r>
              <w:rPr>
                <w:rFonts w:hint="eastAsia" w:ascii="仿宋_GB2312" w:hAnsi="仿宋_GB2312" w:eastAsia="仿宋_GB2312" w:cs="仿宋_GB2312"/>
                <w:bCs/>
                <w:kern w:val="2"/>
                <w:sz w:val="28"/>
                <w:szCs w:val="28"/>
                <w:lang w:val="en-US" w:eastAsia="zh-CN" w:bidi="ar"/>
              </w:rPr>
              <w:t>2022年农业局系统基本支出共计1800.57万元，主要用于人员支出1145.39万元，主要包括基本工资170.62万元，津补贴60.48万元，奖金133.38万元，绩效工资108.62万元，机关基本养老保险104.33万元，职业年金缴费15.76万元，基本医疗保险48.62万元，住房公积金162.44万元，退休费102.27万元等；公用支出655.18万元，主要包括办公费25.23万元，印刷费39.42万元，咨询费9.50万元，水电费17.18万元，差旅费4.50万元，维修费15.41万元，培训费1.19万元，公务接待费2.13万元，专用材料费5.57万元，劳务费196.08万元，委托业务费132.02万元，工会经费46.33万元，公务用车运行维护费10.60万元，其他交通费20.81万元等。公用支出中“三公”经费合计12.82万元，其中公务接待费2.13万元，公务用车运行维护10.69万元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ind w:firstLine="640"/>
              <w:jc w:val="both"/>
              <w:rPr>
                <w:rFonts w:hint="default" w:ascii="仿宋_GB2312" w:hAnsi="仿宋_GB2312" w:eastAsia="仿宋_GB2312" w:cs="仿宋_GB2312"/>
                <w:bCs/>
                <w:kern w:val="2"/>
                <w:sz w:val="28"/>
                <w:szCs w:val="28"/>
                <w:lang w:val="en-US" w:eastAsia="zh-CN" w:bidi="ar"/>
              </w:rPr>
            </w:pPr>
            <w:r>
              <w:rPr>
                <w:rFonts w:hint="eastAsia" w:ascii="仿宋_GB2312" w:hAnsi="仿宋_GB2312" w:eastAsia="仿宋_GB2312" w:cs="仿宋_GB2312"/>
                <w:bCs/>
                <w:kern w:val="2"/>
                <w:sz w:val="28"/>
                <w:szCs w:val="28"/>
                <w:lang w:val="en-US" w:eastAsia="zh-CN" w:bidi="ar"/>
              </w:rPr>
              <w:t>2022年各级财政安排农业农村局专项资金共24649.06万元。其中：农田建设专项1842.96万元，农业生产发展专项1388.66万元，巩固脱贫衔接乡村振兴专项5809.60万元，农业资源保护修复与利用专项557.97万元，棉花目标价格补贴502.94万元，其他专项14546.93万元。</w:t>
            </w: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专项资金实际使用情况分析</w:t>
            </w:r>
          </w:p>
          <w:p>
            <w:pPr>
              <w:ind w:firstLine="640"/>
              <w:jc w:val="both"/>
              <w:rPr>
                <w:rFonts w:hint="eastAsia" w:ascii="仿宋_GB2312" w:hAnsi="仿宋_GB2312" w:eastAsia="仿宋_GB2312" w:cs="仿宋_GB2312"/>
                <w:bCs/>
                <w:kern w:val="2"/>
                <w:sz w:val="28"/>
                <w:szCs w:val="28"/>
                <w:lang w:val="en-US" w:eastAsia="zh-CN" w:bidi="ar"/>
              </w:rPr>
            </w:pPr>
            <w:r>
              <w:rPr>
                <w:rFonts w:hint="eastAsia" w:ascii="仿宋_GB2312" w:hAnsi="仿宋_GB2312" w:eastAsia="仿宋_GB2312" w:cs="仿宋_GB2312"/>
                <w:bCs/>
                <w:kern w:val="2"/>
                <w:sz w:val="28"/>
                <w:szCs w:val="28"/>
                <w:lang w:val="en-US" w:eastAsia="zh-CN" w:bidi="ar"/>
              </w:rPr>
              <w:t>各专项资金使用情况及拨付情况较为及时，其中早稻集中育秧补贴、耕地地力保护补贴、棉花目标价格补贴、农机购置补贴等补给资金全部由财政及时打卡发放。</w:t>
            </w:r>
          </w:p>
          <w:p>
            <w:pPr>
              <w:numPr>
                <w:ilvl w:val="0"/>
                <w:numId w:val="1"/>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专项资金管理情况分析</w:t>
            </w:r>
          </w:p>
          <w:p>
            <w:pPr>
              <w:ind w:firstLine="640"/>
              <w:jc w:val="both"/>
              <w:rPr>
                <w:rFonts w:hint="eastAsia" w:ascii="仿宋_GB2312" w:hAnsi="仿宋_GB2312" w:eastAsia="仿宋_GB2312" w:cs="仿宋_GB2312"/>
                <w:bCs/>
                <w:kern w:val="2"/>
                <w:sz w:val="28"/>
                <w:szCs w:val="28"/>
                <w:lang w:val="en-US" w:eastAsia="zh-CN" w:bidi="ar"/>
              </w:rPr>
            </w:pPr>
            <w:r>
              <w:rPr>
                <w:rFonts w:hint="eastAsia" w:ascii="仿宋_GB2312" w:hAnsi="仿宋_GB2312" w:eastAsia="仿宋_GB2312" w:cs="仿宋_GB2312"/>
                <w:bCs/>
                <w:kern w:val="2"/>
                <w:sz w:val="28"/>
                <w:szCs w:val="28"/>
                <w:lang w:val="en-US" w:eastAsia="zh-CN" w:bidi="ar"/>
              </w:rPr>
              <w:t>为规范专项资金使用，提高专项资金使用效益，区农业农村局主要采取五项措施。一是制订专项资金管理制度；二是建立专账管理专项资金；三是制订了项目实施方案；四是认真组织项目验收；五是专款专用。</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ind w:firstLine="640"/>
              <w:jc w:val="both"/>
              <w:rPr>
                <w:rFonts w:hint="eastAsia" w:ascii="仿宋_GB2312" w:hAnsi="仿宋_GB2312" w:eastAsia="仿宋_GB2312" w:cs="仿宋_GB2312"/>
                <w:bCs/>
                <w:kern w:val="2"/>
                <w:sz w:val="28"/>
                <w:szCs w:val="28"/>
                <w:lang w:val="en-US" w:eastAsia="zh-CN" w:bidi="ar"/>
              </w:rPr>
            </w:pPr>
            <w:r>
              <w:rPr>
                <w:rFonts w:hint="eastAsia" w:ascii="仿宋_GB2312" w:hAnsi="仿宋_GB2312" w:eastAsia="仿宋_GB2312" w:cs="仿宋_GB2312"/>
                <w:bCs/>
                <w:kern w:val="2"/>
                <w:sz w:val="28"/>
                <w:szCs w:val="28"/>
                <w:lang w:val="en-US" w:eastAsia="zh-CN" w:bidi="ar"/>
              </w:rPr>
              <w:t>成立区农业农村局管理小组，由局长任组长、区纪委派驻农业农村局纪检组长、机关党风廉政分管领导、财务分管领导、项目相应股室分管领导任副组长，财务股长、机关党风廉政专干、项目相应股站长为组员。所有专项资金使用前都制订了详细的实施方案，同时健全了项目资金管理、工程招标管理、政府采购管理、工程质量监理管理等各种管理制度。要求各相关责任人严格按照项目实施方案和相关制度实施项目。</w:t>
            </w:r>
          </w:p>
          <w:p>
            <w:pPr>
              <w:numPr>
                <w:ilvl w:val="0"/>
                <w:numId w:val="2"/>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专项管理情况分析</w:t>
            </w:r>
          </w:p>
          <w:p>
            <w:pPr>
              <w:ind w:firstLine="640"/>
              <w:jc w:val="both"/>
              <w:rPr>
                <w:rFonts w:hint="eastAsia" w:ascii="仿宋_GB2312" w:hAnsi="仿宋_GB2312" w:eastAsia="仿宋_GB2312" w:cs="仿宋_GB2312"/>
                <w:bCs/>
                <w:kern w:val="2"/>
                <w:sz w:val="28"/>
                <w:szCs w:val="28"/>
                <w:lang w:val="en-US" w:eastAsia="zh-CN" w:bidi="ar"/>
              </w:rPr>
            </w:pPr>
            <w:r>
              <w:rPr>
                <w:rFonts w:hint="eastAsia" w:ascii="仿宋_GB2312" w:hAnsi="仿宋_GB2312" w:eastAsia="仿宋_GB2312" w:cs="仿宋_GB2312"/>
                <w:bCs/>
                <w:kern w:val="2"/>
                <w:sz w:val="28"/>
                <w:szCs w:val="28"/>
                <w:lang w:val="en-US" w:eastAsia="zh-CN" w:bidi="ar"/>
              </w:rPr>
              <w:t>1、成立工作领导小组。由局机关一名副职牵头，相关股室具体负责项目实施。重大项目则由区主要领导牵头组织项目实施，相关部门参与项目重大事项决策，项目乡镇安排一名主要领导负责项目实施的协调工作。</w:t>
            </w:r>
          </w:p>
          <w:p>
            <w:pPr>
              <w:ind w:firstLine="640"/>
              <w:jc w:val="both"/>
              <w:rPr>
                <w:rFonts w:hint="eastAsia" w:ascii="仿宋_GB2312" w:hAnsi="仿宋_GB2312" w:eastAsia="仿宋_GB2312" w:cs="仿宋_GB2312"/>
                <w:bCs/>
                <w:kern w:val="2"/>
                <w:sz w:val="28"/>
                <w:szCs w:val="28"/>
                <w:lang w:val="en-US" w:eastAsia="zh-CN" w:bidi="ar"/>
              </w:rPr>
            </w:pPr>
            <w:r>
              <w:rPr>
                <w:rFonts w:hint="eastAsia" w:ascii="仿宋_GB2312" w:hAnsi="仿宋_GB2312" w:eastAsia="仿宋_GB2312" w:cs="仿宋_GB2312"/>
                <w:bCs/>
                <w:kern w:val="2"/>
                <w:sz w:val="28"/>
                <w:szCs w:val="28"/>
                <w:lang w:val="en-US" w:eastAsia="zh-CN" w:bidi="ar"/>
              </w:rPr>
              <w:t>2、强化责任。所有专项资金使用前都制订了详细的实施方案，同时健全了项目资金管理、工程招标管理、政府采购管理、工程质量监理管理等各种管理制度。要求各相关责任人严格按照项目实施方案和相关制度实施项目。</w:t>
            </w:r>
          </w:p>
          <w:p>
            <w:pPr>
              <w:ind w:firstLine="640"/>
              <w:jc w:val="both"/>
              <w:rPr>
                <w:rFonts w:hint="default" w:ascii="仿宋_GB2312" w:hAnsi="仿宋_GB2312" w:eastAsia="仿宋_GB2312" w:cs="仿宋_GB2312"/>
                <w:bCs/>
                <w:kern w:val="2"/>
                <w:sz w:val="28"/>
                <w:szCs w:val="28"/>
                <w:lang w:val="en-US" w:eastAsia="zh-CN" w:bidi="ar"/>
              </w:rPr>
            </w:pPr>
            <w:r>
              <w:rPr>
                <w:rFonts w:hint="eastAsia" w:ascii="仿宋_GB2312" w:hAnsi="仿宋_GB2312" w:eastAsia="仿宋_GB2312" w:cs="仿宋_GB2312"/>
                <w:bCs/>
                <w:kern w:val="2"/>
                <w:sz w:val="28"/>
                <w:szCs w:val="28"/>
                <w:lang w:val="en-US" w:eastAsia="zh-CN" w:bidi="ar"/>
              </w:rPr>
              <w:t>3、强化监督，依法依规实施项目。项目的货物采购都由区采购办统一采购，财政部门直接支付货物资金。项目实施过程中及完工后，农业局都邀请区财政、发改等部门进行检查验收，所有项目完工后，都由区审计局对项目资金使用情况进行审计。</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ind w:firstLine="640"/>
              <w:jc w:val="both"/>
              <w:rPr>
                <w:rFonts w:hint="eastAsia" w:ascii="仿宋_GB2312" w:hAnsi="仿宋_GB2312" w:eastAsia="仿宋_GB2312" w:cs="仿宋_GB2312"/>
                <w:bCs/>
                <w:kern w:val="2"/>
                <w:sz w:val="28"/>
                <w:szCs w:val="28"/>
                <w:lang w:val="en-US" w:eastAsia="zh-CN" w:bidi="ar"/>
              </w:rPr>
            </w:pPr>
            <w:r>
              <w:rPr>
                <w:rFonts w:hint="eastAsia" w:ascii="仿宋_GB2312" w:hAnsi="仿宋_GB2312" w:eastAsia="仿宋_GB2312" w:cs="仿宋_GB2312"/>
                <w:bCs/>
                <w:kern w:val="2"/>
                <w:sz w:val="28"/>
                <w:szCs w:val="28"/>
                <w:lang w:val="en-US" w:eastAsia="zh-CN" w:bidi="ar"/>
              </w:rPr>
              <w:t>2022年，在区委区政府的坚强领导下，有效应对疫情和旱灾影响，农业农村工作稳中加固、稳中向好：</w:t>
            </w:r>
          </w:p>
          <w:p>
            <w:pPr>
              <w:ind w:firstLine="640"/>
              <w:jc w:val="both"/>
              <w:rPr>
                <w:rFonts w:hint="eastAsia" w:ascii="仿宋_GB2312" w:hAnsi="仿宋_GB2312" w:eastAsia="仿宋_GB2312" w:cs="仿宋_GB2312"/>
                <w:bCs/>
                <w:kern w:val="2"/>
                <w:sz w:val="28"/>
                <w:szCs w:val="28"/>
                <w:lang w:val="en-US" w:eastAsia="zh-CN" w:bidi="ar"/>
              </w:rPr>
            </w:pPr>
            <w:r>
              <w:rPr>
                <w:rFonts w:hint="eastAsia" w:ascii="仿宋_GB2312" w:hAnsi="仿宋_GB2312" w:eastAsia="仿宋_GB2312" w:cs="仿宋_GB2312"/>
                <w:bCs/>
                <w:kern w:val="2"/>
                <w:sz w:val="28"/>
                <w:szCs w:val="28"/>
                <w:lang w:val="en-US" w:eastAsia="zh-CN" w:bidi="ar"/>
              </w:rPr>
              <w:t>一是稳定粮食生产。落实区委区政府粮食生产十二条“硬措施”，对标粮食面积39.44万亩、总产14.68万吨“硬任务”，新增水稻集中育苗大棚6000平方米、实现早稻集中育秧全覆盖，推广机插机抛面积1.5万亩，扩种玉米大豆带状种植0.7万亩、旱粮2万亩，新建高标准农田2.1万亩、全区粮食播种面积45.274万亩，总产19.85万吨，粮食综合产能不断提升。</w:t>
            </w:r>
          </w:p>
          <w:p>
            <w:pPr>
              <w:ind w:firstLine="640"/>
              <w:jc w:val="both"/>
              <w:rPr>
                <w:rFonts w:hint="eastAsia" w:ascii="仿宋_GB2312" w:hAnsi="仿宋_GB2312" w:eastAsia="仿宋_GB2312" w:cs="仿宋_GB2312"/>
                <w:bCs/>
                <w:kern w:val="2"/>
                <w:sz w:val="28"/>
                <w:szCs w:val="28"/>
                <w:lang w:val="en-US" w:eastAsia="zh-CN" w:bidi="ar"/>
              </w:rPr>
            </w:pPr>
            <w:r>
              <w:rPr>
                <w:rFonts w:hint="eastAsia" w:ascii="仿宋_GB2312" w:hAnsi="仿宋_GB2312" w:eastAsia="仿宋_GB2312" w:cs="仿宋_GB2312"/>
                <w:bCs/>
                <w:kern w:val="2"/>
                <w:sz w:val="28"/>
                <w:szCs w:val="28"/>
                <w:lang w:val="en-US" w:eastAsia="zh-CN" w:bidi="ar"/>
              </w:rPr>
              <w:t>二是防止规模返贫。认真开展防返贫监测，防返贫集中排查，及时处置预警信息累计2146条，巩固拓展现有11个省级脱贫村，2410户5980人脱贫人口的脱贫成效；针对重点群体，聚焦“5种情形”，排查农户3.59万户12.17万人，新纳入监测对象263户631人。强化针对性帮扶，开发乡村公益岗位807个，脱贫人口务工规模2399人、比去年增加99人；落实“四跟四走”产业帮扶1502户、资金153.3万元。全区脱贫人口人均纯收入增幅14.8%，守住了不发生规模性返贫的底线。</w:t>
            </w:r>
          </w:p>
          <w:p>
            <w:pPr>
              <w:ind w:firstLine="640"/>
              <w:jc w:val="both"/>
              <w:rPr>
                <w:rFonts w:hint="default" w:ascii="仿宋_GB2312" w:hAnsi="仿宋_GB2312" w:eastAsia="仿宋_GB2312" w:cs="仿宋_GB2312"/>
                <w:bCs/>
                <w:kern w:val="2"/>
                <w:sz w:val="28"/>
                <w:szCs w:val="28"/>
                <w:lang w:val="en-US" w:eastAsia="zh-CN" w:bidi="ar"/>
              </w:rPr>
            </w:pPr>
            <w:r>
              <w:rPr>
                <w:rFonts w:hint="eastAsia" w:ascii="仿宋_GB2312" w:hAnsi="仿宋_GB2312" w:eastAsia="仿宋_GB2312" w:cs="仿宋_GB2312"/>
                <w:bCs/>
                <w:kern w:val="2"/>
                <w:sz w:val="28"/>
                <w:szCs w:val="28"/>
                <w:lang w:val="en-US" w:eastAsia="zh-CN" w:bidi="ar"/>
              </w:rPr>
              <w:t>三是发展乡村产业。棉花种植面积4.48万亩，认定为2022年全省产棉大县；新增省级标杆龙头企业1家（国泰）、百企培育工程2家（口水娃、乡村田园）、省级现代农业特色产业园2个（江南农科、康亿黄茶），创建1家省级全程机械化综合农事服务中心（福农农机）、1家省级现代农机合作社（青云农机）。“君山小虾”认定为全省“一县一特”精品农业品牌，“洞庭湖边咸鸭蛋黄”获评中部农博会金奖。申报农业产业化省级龙头企业2家（大农米业、新洺瀚）、市级5家（茂祺食品、中孚农构生物科技、天井山茶叶合作社、旺君龙水产、兴百味食品）。</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beforeAutospacing="0" w:line="600" w:lineRule="exact"/>
              <w:ind w:leftChars="0" w:firstLine="560" w:firstLineChars="200"/>
              <w:textAlignment w:val="auto"/>
              <w:rPr>
                <w:rFonts w:hint="eastAsia" w:ascii="仿宋_GB2312" w:hAnsi="仿宋_GB2312" w:eastAsia="仿宋_GB2312" w:cs="仿宋_GB2312"/>
                <w:bCs/>
                <w:kern w:val="2"/>
                <w:sz w:val="28"/>
                <w:szCs w:val="28"/>
                <w:lang w:val="en-US" w:eastAsia="zh-CN" w:bidi="ar"/>
              </w:rPr>
            </w:pPr>
            <w:r>
              <w:rPr>
                <w:rFonts w:hint="eastAsia" w:ascii="仿宋_GB2312" w:hAnsi="仿宋_GB2312" w:eastAsia="仿宋_GB2312" w:cs="仿宋_GB2312"/>
                <w:bCs/>
                <w:kern w:val="2"/>
                <w:sz w:val="28"/>
                <w:szCs w:val="28"/>
                <w:lang w:val="en-US" w:eastAsia="zh-CN" w:bidi="ar"/>
              </w:rPr>
              <w:t>四是推进禁捕退捕。对标省政府真抓实干督查激励措施，强化领导小组统筹、牵头部门协调、成员单位联动的禁捕退捕工作机制，构建河（湖）长主导、属地管理、部门督促、公安配合、社会参与的专管群护的管控体系。全区核实标识留用船舶5525艘，落实动态监管。开展联合执法专项整治行动6次，出动执法人员1126人次，执法车辆325台次、执法艇130次，抓获违法人员8人，办案10起、立刑案4起；劝止驱散垂钓人员1100余人，警告谈话50人次，依法暂扣、没收违规钓具1130杆套。在洞庭湖水域实施增殖放流鱼苗400万尾，竖立禁渔警示牌40多块，发放宣传资料1万余份，印发政策宣传手册8000份，悬挂宣传横幅80余条，媒体宣传12次，特别是我区禁捕退捕典型做法，分别在今年元月8日、8月15日、9月15日中央新闻频道重磅推介，9月30日《人民日报》整版特别报道。</w:t>
            </w:r>
          </w:p>
          <w:p>
            <w:pPr>
              <w:ind w:firstLine="640"/>
              <w:jc w:val="both"/>
              <w:rPr>
                <w:rFonts w:hint="eastAsia" w:ascii="仿宋_GB2312" w:hAnsi="仿宋_GB2312" w:eastAsia="仿宋_GB2312" w:cs="仿宋_GB2312"/>
                <w:bCs/>
                <w:kern w:val="2"/>
                <w:sz w:val="28"/>
                <w:szCs w:val="28"/>
                <w:lang w:val="en-US" w:eastAsia="zh-CN" w:bidi="ar"/>
              </w:rPr>
            </w:pPr>
            <w:r>
              <w:rPr>
                <w:rFonts w:hint="eastAsia" w:ascii="仿宋_GB2312" w:hAnsi="仿宋_GB2312" w:eastAsia="仿宋_GB2312" w:cs="仿宋_GB2312"/>
                <w:bCs/>
                <w:kern w:val="2"/>
                <w:sz w:val="28"/>
                <w:szCs w:val="28"/>
                <w:lang w:val="en-US" w:eastAsia="zh-CN" w:bidi="ar"/>
              </w:rPr>
              <w:t>五是加强乡村治理。按照农村人居环境整治提升实施意见，认真开展“一月一考核、一季一讲评”督查考核，全区农村垃圾及时清理、人居环境持续改善、村容村貌不断提升，申报市级美丽乡村2个（柳林上反嘴村、广兴洲洪市村）、美丽屋场2个（钱粮湖观音村移民屋场、广兴洲黄安村同心屋场），完成省市美丽乡村创建任务。按时完成年度1000个农村户厕改建任务，改（新）建公厕14座，排查整改厕所问题138个；秸秆禁烧力度空前，有效规避省市约谈问责；8个涉农生态环境突出问题完成整改销号（农业面源污染，化肥减量，养殖池塘生态化改造，农村改厕、污染耕地安全利用，秸秆禁烧与综合利用，农业废弃物回收，1.5万亩绿肥种植）。</w:t>
            </w:r>
          </w:p>
          <w:p>
            <w:pPr>
              <w:ind w:firstLine="640"/>
              <w:jc w:val="both"/>
              <w:rPr>
                <w:rFonts w:hint="default" w:ascii="仿宋_GB2312" w:hAnsi="仿宋_GB2312" w:eastAsia="仿宋_GB2312" w:cs="仿宋_GB2312"/>
                <w:bCs/>
                <w:kern w:val="2"/>
                <w:sz w:val="28"/>
                <w:szCs w:val="28"/>
                <w:lang w:val="en-US" w:eastAsia="zh-CN" w:bidi="ar"/>
              </w:rPr>
            </w:pPr>
            <w:r>
              <w:rPr>
                <w:rFonts w:hint="eastAsia" w:ascii="仿宋_GB2312" w:hAnsi="仿宋_GB2312" w:eastAsia="仿宋_GB2312" w:cs="仿宋_GB2312"/>
                <w:bCs/>
                <w:kern w:val="2"/>
                <w:sz w:val="28"/>
                <w:szCs w:val="28"/>
                <w:lang w:val="en-US" w:eastAsia="zh-CN" w:bidi="ar"/>
              </w:rPr>
              <w:t>六是应对风险挑战。有效应对“3.15”酸菜事件，协调大田芥菜收购，落实“土窖”挂牌管理，完成2万亩芥菜种植任务，国泰企业打造成芥菜产业的省级标杆龙头企业。面对有史以来最严重的旱灾，组成5个指导组，深入村组、田头加强技术指导，针对性开展技术指导、灾情调度、保险理赔，统筹资金300多万元，打井146处，保灌面积8.3万亩，落实集中育苗面积3650亩，可移栽大田9.5万亩，最大限度减轻灾害损失，确保秋冬种生产不误农时、赢得主动。10月20日，全市2022年秋冬种生产现场推进会在君山举行，我区作典型发言。</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Cs/>
                <w:kern w:val="2"/>
                <w:sz w:val="28"/>
                <w:szCs w:val="28"/>
                <w:lang w:val="en-US" w:eastAsia="zh-CN" w:bidi="ar"/>
              </w:rPr>
              <w:t>七是奋力争资争先。2022年已到位项目资金2.44亿元、比上年增加4400万元；积极配合对接深圳万雨、中联农科，有力有序推进食用菌产业、智慧农场项目建设。同时，我区创建“2022年全国县域农业农村信息化发展先进县”已通过省级评审，争创“省政府真抓实干督促激励（十年禁渔）正有序推进，乡村振兴、高标准农田建设、“六大强农”、数字乡村等重点工作，努力在全市争先进位。</w:t>
            </w:r>
          </w:p>
          <w:p>
            <w:pPr>
              <w:pStyle w:val="2"/>
            </w:pP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仿宋_GB2312" w:hAnsi="仿宋_GB2312" w:eastAsia="仿宋_GB2312" w:cs="仿宋_GB2312"/>
                <w:bCs/>
                <w:kern w:val="2"/>
                <w:sz w:val="28"/>
                <w:szCs w:val="28"/>
                <w:lang w:val="en-US" w:eastAsia="zh-CN" w:bidi="ar"/>
              </w:rPr>
            </w:pPr>
            <w:r>
              <w:rPr>
                <w:rFonts w:hint="eastAsia" w:ascii="仿宋_GB2312" w:hAnsi="仿宋_GB2312" w:eastAsia="仿宋_GB2312" w:cs="仿宋_GB2312"/>
                <w:bCs/>
                <w:kern w:val="2"/>
                <w:sz w:val="28"/>
                <w:szCs w:val="28"/>
                <w:lang w:val="en-US" w:eastAsia="zh-CN" w:bidi="ar"/>
              </w:rPr>
              <w:t>1、预算编制有待更严格执行。有的项目的预算编制与实际支出存在差异，专项支出有待进一步加强。</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pPr>
            <w:r>
              <w:rPr>
                <w:rFonts w:hint="eastAsia" w:ascii="仿宋_GB2312" w:hAnsi="仿宋_GB2312" w:eastAsia="仿宋_GB2312" w:cs="仿宋_GB2312"/>
                <w:bCs/>
                <w:kern w:val="2"/>
                <w:sz w:val="28"/>
                <w:szCs w:val="28"/>
                <w:lang w:val="en-US" w:eastAsia="zh-CN" w:bidi="ar"/>
              </w:rPr>
              <w:t>2、绩效管理理念有待进一步增强。虽然预算单位对绩效的理念有了一定的了解，但长期以来形成的“重安排，轻监督；重使用，轻绩效”的思想短期内还存在，认为只要资金使用合法合规就行，不重视预算的绩效管理。</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default" w:ascii="仿宋_GB2312" w:hAnsi="仿宋_GB2312" w:eastAsia="仿宋_GB2312" w:cs="仿宋_GB2312"/>
                <w:bCs/>
                <w:kern w:val="2"/>
                <w:sz w:val="28"/>
                <w:szCs w:val="28"/>
                <w:lang w:val="en-US" w:eastAsia="zh-CN" w:bidi="ar"/>
              </w:rPr>
            </w:pPr>
            <w:r>
              <w:rPr>
                <w:rFonts w:hint="eastAsia" w:ascii="仿宋_GB2312" w:hAnsi="仿宋_GB2312" w:eastAsia="仿宋_GB2312" w:cs="仿宋_GB2312"/>
                <w:bCs/>
                <w:kern w:val="2"/>
                <w:sz w:val="28"/>
                <w:szCs w:val="28"/>
                <w:lang w:val="en-US" w:eastAsia="zh-CN" w:bidi="ar"/>
              </w:rPr>
              <w:t>1、增强预算绩效管理意识。将绩效管理融入预算管理全过程，构建事前、事中、事后的预算绩效管理闭环系统。</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仿宋_GB2312" w:hAnsi="仿宋_GB2312" w:eastAsia="仿宋_GB2312" w:cs="仿宋_GB2312"/>
                <w:bCs/>
                <w:kern w:val="2"/>
                <w:sz w:val="28"/>
                <w:szCs w:val="28"/>
                <w:lang w:val="en-US" w:eastAsia="zh-CN" w:bidi="ar"/>
              </w:rPr>
            </w:pPr>
            <w:r>
              <w:rPr>
                <w:rFonts w:hint="eastAsia" w:ascii="仿宋_GB2312" w:hAnsi="仿宋_GB2312" w:eastAsia="仿宋_GB2312" w:cs="仿宋_GB2312"/>
                <w:bCs/>
                <w:kern w:val="2"/>
                <w:sz w:val="28"/>
                <w:szCs w:val="28"/>
                <w:lang w:val="en-US" w:eastAsia="zh-CN" w:bidi="ar"/>
              </w:rPr>
              <w:t>2、完善预算绩效管理制度。建立健全预算绩效管理制度，完善预算绩效管理体系，提高绩效评价结果的客观性和准确性，将绩效评价结果应用于预算编制。</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eastAsia="楷体_GB2312"/>
                <w:bCs/>
                <w:sz w:val="28"/>
                <w:szCs w:val="28"/>
              </w:rPr>
            </w:pPr>
            <w:r>
              <w:rPr>
                <w:rFonts w:hint="eastAsia" w:ascii="仿宋_GB2312" w:hAnsi="仿宋_GB2312" w:eastAsia="仿宋_GB2312" w:cs="仿宋_GB2312"/>
                <w:bCs/>
                <w:kern w:val="2"/>
                <w:sz w:val="28"/>
                <w:szCs w:val="28"/>
                <w:lang w:val="en-US" w:eastAsia="zh-CN" w:bidi="ar"/>
              </w:rPr>
              <w:t>3、按照预算规定的项目和用途严格财务审计，经费支出严格按预算规定项目的财务支出内容进行财务预算，在预算金额内严格控制费用的支出。</w:t>
            </w:r>
          </w:p>
        </w:tc>
      </w:tr>
    </w:tbl>
    <w:p/>
    <w:p>
      <w:pPr>
        <w:pStyle w:val="2"/>
      </w:pPr>
    </w:p>
    <w:p>
      <w:pPr>
        <w:pStyle w:val="2"/>
      </w:pPr>
    </w:p>
    <w:p>
      <w:pPr>
        <w:pStyle w:val="2"/>
      </w:pPr>
    </w:p>
    <w:p>
      <w:pPr>
        <w:rPr>
          <w:rFonts w:ascii="黑体" w:hAnsi="黑体" w:eastAsia="黑体"/>
          <w:sz w:val="32"/>
          <w:szCs w:val="32"/>
        </w:rPr>
      </w:pPr>
      <w:r>
        <w:rPr>
          <w:rFonts w:hint="eastAsia" w:ascii="黑体" w:hAnsi="黑体" w:eastAsia="黑体"/>
          <w:sz w:val="32"/>
          <w:szCs w:val="32"/>
        </w:rPr>
        <w:t>附件4-1</w:t>
      </w:r>
    </w:p>
    <w:p>
      <w:pPr>
        <w:spacing w:before="312" w:beforeLines="100" w:after="312" w:afterLines="100"/>
        <w:jc w:val="center"/>
        <w:rPr>
          <w:rFonts w:ascii="方正小标宋简体" w:eastAsia="方正小标宋简体"/>
          <w:sz w:val="36"/>
          <w:szCs w:val="36"/>
        </w:rPr>
      </w:pPr>
      <w:r>
        <w:rPr>
          <w:rFonts w:hint="eastAsia" w:ascii="方正小标宋简体" w:eastAsia="方正小标宋简体"/>
          <w:sz w:val="36"/>
          <w:szCs w:val="36"/>
        </w:rPr>
        <w:t>部门整体支出绩效评价评分表（参考样表）</w:t>
      </w:r>
    </w:p>
    <w:tbl>
      <w:tblPr>
        <w:tblStyle w:val="9"/>
        <w:tblW w:w="98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6"/>
        <w:gridCol w:w="939"/>
        <w:gridCol w:w="1389"/>
        <w:gridCol w:w="4171"/>
        <w:gridCol w:w="619"/>
        <w:gridCol w:w="649"/>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649"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151"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15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15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15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4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2</w:t>
            </w:r>
          </w:p>
        </w:tc>
        <w:tc>
          <w:tcPr>
            <w:tcW w:w="11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有预算追加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春节前下达全部专项资金的50%；6月底前所有专项资金指标全部下达完。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15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0</w:t>
            </w:r>
          </w:p>
        </w:tc>
        <w:tc>
          <w:tcPr>
            <w:tcW w:w="1151"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项目完工未结算产生资金结余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6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15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15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15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49"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15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49"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15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公务卡刷卡率达50％以上的，得3分。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49"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15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49"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15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6"/>
        <w:gridCol w:w="939"/>
        <w:gridCol w:w="1389"/>
        <w:gridCol w:w="4171"/>
        <w:gridCol w:w="619"/>
        <w:gridCol w:w="72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1"/>
                            </w:rPr>
                          </w:pPr>
                          <w:r>
                            <w:rPr>
                              <w:rStyle w:val="11"/>
                              <w:rFonts w:hint="eastAsia"/>
                            </w:rPr>
                            <w:t xml:space="preserve">— </w:t>
                          </w:r>
                          <w:r>
                            <w:fldChar w:fldCharType="begin"/>
                          </w:r>
                          <w:r>
                            <w:rPr>
                              <w:rStyle w:val="11"/>
                            </w:rPr>
                            <w:instrText xml:space="preserve">PAGE  </w:instrText>
                          </w:r>
                          <w:r>
                            <w:fldChar w:fldCharType="separate"/>
                          </w:r>
                          <w:r>
                            <w:rPr>
                              <w:rStyle w:val="11"/>
                            </w:rPr>
                            <w:t>4</w:t>
                          </w:r>
                          <w:r>
                            <w:fldChar w:fldCharType="end"/>
                          </w:r>
                          <w:r>
                            <w:rPr>
                              <w:rStyle w:val="11"/>
                              <w:rFonts w:hint="eastAsia"/>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6"/>
                      <w:rPr>
                        <w:rStyle w:val="11"/>
                      </w:rPr>
                    </w:pPr>
                    <w:r>
                      <w:rPr>
                        <w:rStyle w:val="11"/>
                        <w:rFonts w:hint="eastAsia"/>
                      </w:rPr>
                      <w:t xml:space="preserve">— </w:t>
                    </w:r>
                    <w:r>
                      <w:fldChar w:fldCharType="begin"/>
                    </w:r>
                    <w:r>
                      <w:rPr>
                        <w:rStyle w:val="11"/>
                      </w:rPr>
                      <w:instrText xml:space="preserve">PAGE  </w:instrText>
                    </w:r>
                    <w:r>
                      <w:fldChar w:fldCharType="separate"/>
                    </w:r>
                    <w:r>
                      <w:rPr>
                        <w:rStyle w:val="11"/>
                      </w:rPr>
                      <w:t>4</w:t>
                    </w:r>
                    <w:r>
                      <w:fldChar w:fldCharType="end"/>
                    </w:r>
                    <w:r>
                      <w:rPr>
                        <w:rStyle w:val="11"/>
                        <w:rFonts w:hint="eastAsia"/>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9F2CD3"/>
    <w:multiLevelType w:val="singleLevel"/>
    <w:tmpl w:val="BA9F2CD3"/>
    <w:lvl w:ilvl="0" w:tentative="0">
      <w:start w:val="5"/>
      <w:numFmt w:val="chineseCounting"/>
      <w:suff w:val="nothing"/>
      <w:lvlText w:val="%1、"/>
      <w:lvlJc w:val="left"/>
      <w:rPr>
        <w:rFonts w:hint="eastAsia"/>
      </w:rPr>
    </w:lvl>
  </w:abstractNum>
  <w:abstractNum w:abstractNumId="1">
    <w:nsid w:val="E138D7E2"/>
    <w:multiLevelType w:val="singleLevel"/>
    <w:tmpl w:val="E138D7E2"/>
    <w:lvl w:ilvl="0" w:tentative="0">
      <w:start w:val="2"/>
      <w:numFmt w:val="chineseCounting"/>
      <w:suff w:val="nothing"/>
      <w:lvlText w:val="（%1）"/>
      <w:lvlJc w:val="left"/>
      <w:rPr>
        <w:rFonts w:hint="eastAsia"/>
      </w:rPr>
    </w:lvl>
  </w:abstractNum>
  <w:abstractNum w:abstractNumId="2">
    <w:nsid w:val="148FF970"/>
    <w:multiLevelType w:val="singleLevel"/>
    <w:tmpl w:val="148FF970"/>
    <w:lvl w:ilvl="0" w:tentative="0">
      <w:start w:val="2"/>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iNGVmOWRjMWM1NmYyNjhiZGY0MjE0MmZlNjMzYTcifQ=="/>
  </w:docVars>
  <w:rsids>
    <w:rsidRoot w:val="5ADE3A10"/>
    <w:rsid w:val="04BC1856"/>
    <w:rsid w:val="06A0572A"/>
    <w:rsid w:val="06AD1E27"/>
    <w:rsid w:val="0DD86D26"/>
    <w:rsid w:val="130B554D"/>
    <w:rsid w:val="17012110"/>
    <w:rsid w:val="1D9E2CAB"/>
    <w:rsid w:val="29195CAD"/>
    <w:rsid w:val="2A0F6206"/>
    <w:rsid w:val="2CE02C8D"/>
    <w:rsid w:val="340E7A8F"/>
    <w:rsid w:val="3D513183"/>
    <w:rsid w:val="3DFD1951"/>
    <w:rsid w:val="44F7490B"/>
    <w:rsid w:val="47254FC3"/>
    <w:rsid w:val="4E0B73AD"/>
    <w:rsid w:val="551038D5"/>
    <w:rsid w:val="56BF1A61"/>
    <w:rsid w:val="570C29CC"/>
    <w:rsid w:val="5ADE3A10"/>
    <w:rsid w:val="5B1E1AE3"/>
    <w:rsid w:val="5C4904AD"/>
    <w:rsid w:val="60E94201"/>
    <w:rsid w:val="62C17904"/>
    <w:rsid w:val="64EB74E6"/>
    <w:rsid w:val="70D64C91"/>
    <w:rsid w:val="72F10D84"/>
    <w:rsid w:val="73300051"/>
    <w:rsid w:val="733810A5"/>
    <w:rsid w:val="76C415FC"/>
    <w:rsid w:val="7AEC00ED"/>
    <w:rsid w:val="7B195978"/>
    <w:rsid w:val="7DE72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2"/>
    <w:qFormat/>
    <w:uiPriority w:val="0"/>
    <w:pPr>
      <w:widowControl w:val="0"/>
      <w:jc w:val="both"/>
    </w:pPr>
    <w:rPr>
      <w:rFonts w:ascii="Times New Roman" w:hAnsi="Times New Roman" w:eastAsia="宋体" w:cs="Times New Roman"/>
      <w:kern w:val="2"/>
      <w:sz w:val="21"/>
      <w:szCs w:val="24"/>
      <w:lang w:val="en-US" w:eastAsia="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0"/>
      <w:ind w:firstLine="200" w:firstLineChars="200"/>
    </w:pPr>
    <w:rPr>
      <w:sz w:val="24"/>
    </w:rPr>
  </w:style>
  <w:style w:type="paragraph" w:styleId="3">
    <w:name w:val="Body Text"/>
    <w:basedOn w:val="1"/>
    <w:next w:val="4"/>
    <w:unhideWhenUsed/>
    <w:qFormat/>
    <w:uiPriority w:val="99"/>
    <w:pPr>
      <w:spacing w:after="120"/>
    </w:pPr>
  </w:style>
  <w:style w:type="paragraph" w:styleId="4">
    <w:name w:val="toc 5"/>
    <w:basedOn w:val="1"/>
    <w:next w:val="1"/>
    <w:qFormat/>
    <w:uiPriority w:val="0"/>
    <w:pPr>
      <w:ind w:left="1680" w:leftChars="800"/>
    </w:pPr>
  </w:style>
  <w:style w:type="paragraph" w:styleId="5">
    <w:name w:val="Body Text Indent"/>
    <w:basedOn w:val="1"/>
    <w:qFormat/>
    <w:uiPriority w:val="99"/>
    <w:pPr>
      <w:spacing w:after="120"/>
      <w:ind w:left="420" w:leftChars="200"/>
    </w:pPr>
    <w:rPr>
      <w:rFonts w:cs="Times New Roman"/>
    </w:rPr>
  </w:style>
  <w:style w:type="paragraph" w:styleId="6">
    <w:name w:val="footer"/>
    <w:basedOn w:val="1"/>
    <w:qFormat/>
    <w:uiPriority w:val="0"/>
    <w:pPr>
      <w:tabs>
        <w:tab w:val="center" w:pos="4153"/>
        <w:tab w:val="right" w:pos="8306"/>
      </w:tabs>
      <w:snapToGrid w:val="0"/>
      <w:jc w:val="left"/>
    </w:pPr>
    <w:rPr>
      <w:kern w:val="0"/>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5"/>
    <w:qFormat/>
    <w:uiPriority w:val="99"/>
    <w:pPr>
      <w:spacing w:before="100" w:beforeAutospacing="1" w:after="0"/>
      <w:ind w:left="0" w:firstLine="420" w:firstLineChars="200"/>
    </w:pPr>
  </w:style>
  <w:style w:type="character" w:customStyle="1" w:styleId="11">
    <w:name w:val="page number"/>
    <w:qFormat/>
    <w:uiPriority w:val="0"/>
  </w:style>
  <w:style w:type="character" w:customStyle="1" w:styleId="12">
    <w:name w:val="UserStyle_1"/>
    <w:link w:val="1"/>
    <w:qFormat/>
    <w:uiPriority w:val="0"/>
    <w:rPr>
      <w:rFonts w:ascii="Times New Roman" w:hAnsi="Times New Roman" w:eastAsia="宋体" w:cs="Times New Roman"/>
      <w:kern w:val="2"/>
      <w:sz w:val="21"/>
      <w:szCs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8413</Words>
  <Characters>9283</Characters>
  <Lines>0</Lines>
  <Paragraphs>0</Paragraphs>
  <TotalTime>0</TotalTime>
  <ScaleCrop>false</ScaleCrop>
  <LinksUpToDate>false</LinksUpToDate>
  <CharactersWithSpaces>9909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2023-06-30T08:43:00Z</dcterms:created>
  <dc:creator>Administrator</dc:creator>
  <cp:lastModifiedBy>Administrator</cp:lastModifiedBy>
  <dcterms:modified xsi:type="dcterms:W3CDTF">2023-07-13T09:07:08Z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5C4AAE5CF5F5455DABC0CD8BB6DA7356_11</vt:lpwstr>
  </property>
</Properties>
</file>