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rPr>
          <w:rFonts w:eastAsia="方正小标宋简体"/>
          <w:sz w:val="44"/>
          <w:szCs w:val="44"/>
        </w:rPr>
      </w:pPr>
      <w:r>
        <w:rPr>
          <w:rFonts w:hint="eastAsia" w:eastAsia="方正小标宋简体"/>
          <w:sz w:val="44"/>
          <w:szCs w:val="44"/>
        </w:rPr>
        <w:t>岳阳市创新创业带动就业</w:t>
      </w:r>
      <w:r>
        <w:rPr>
          <w:rFonts w:eastAsia="方正小标宋简体"/>
          <w:sz w:val="44"/>
          <w:szCs w:val="44"/>
        </w:rPr>
        <w:t>“</w:t>
      </w:r>
      <w:r>
        <w:rPr>
          <w:rFonts w:hint="eastAsia" w:eastAsia="方正小标宋简体"/>
          <w:sz w:val="44"/>
          <w:szCs w:val="44"/>
        </w:rPr>
        <w:t>百优资助工程</w:t>
      </w:r>
      <w:r>
        <w:rPr>
          <w:rFonts w:eastAsia="方正小标宋简体"/>
          <w:sz w:val="44"/>
          <w:szCs w:val="44"/>
        </w:rPr>
        <w:t>”</w:t>
      </w:r>
      <w:r>
        <w:rPr>
          <w:rFonts w:hint="eastAsia" w:eastAsia="方正小标宋简体"/>
          <w:sz w:val="44"/>
          <w:szCs w:val="44"/>
        </w:rPr>
        <w:t>推荐评审记分表</w:t>
      </w:r>
    </w:p>
    <w:p>
      <w:pPr>
        <w:rPr>
          <w:rFonts w:eastAsia="楷体_GB2312"/>
          <w:sz w:val="32"/>
          <w:szCs w:val="32"/>
        </w:rPr>
      </w:pPr>
      <w:r>
        <w:rPr>
          <w:rFonts w:eastAsia="楷体_GB2312"/>
          <w:sz w:val="32"/>
          <w:szCs w:val="32"/>
        </w:rPr>
        <w:t xml:space="preserve">                                </w:t>
      </w:r>
      <w:r>
        <w:rPr>
          <w:rFonts w:hint="eastAsia" w:eastAsia="楷体_GB2312"/>
          <w:sz w:val="32"/>
          <w:szCs w:val="32"/>
        </w:rPr>
        <w:t>（适用个体工商户）</w:t>
      </w:r>
    </w:p>
    <w:p>
      <w:pPr>
        <w:rPr>
          <w:rFonts w:eastAsia="楷体_GB2312"/>
          <w:sz w:val="32"/>
          <w:szCs w:val="32"/>
          <w:u w:val="single"/>
        </w:rPr>
      </w:pPr>
      <w:r>
        <w:rPr>
          <w:rFonts w:hint="eastAsia" w:eastAsia="楷体_GB2312"/>
          <w:sz w:val="32"/>
          <w:szCs w:val="32"/>
        </w:rPr>
        <w:t>申报单位名称：</w:t>
      </w:r>
      <w:r>
        <w:rPr>
          <w:rFonts w:eastAsia="楷体_GB2312"/>
          <w:sz w:val="32"/>
          <w:szCs w:val="32"/>
          <w:u w:val="single"/>
        </w:rPr>
        <w:t xml:space="preserve"> </w:t>
      </w:r>
      <w:r>
        <w:rPr>
          <w:rFonts w:hint="eastAsia" w:eastAsia="楷体_GB2312"/>
          <w:sz w:val="32"/>
          <w:szCs w:val="32"/>
          <w:u w:val="single"/>
        </w:rPr>
        <w:t>（盖章）</w:t>
      </w:r>
      <w:r>
        <w:rPr>
          <w:rFonts w:eastAsia="楷体_GB2312"/>
          <w:sz w:val="32"/>
          <w:szCs w:val="32"/>
          <w:u w:val="single"/>
        </w:rPr>
        <w:t xml:space="preserve">                       </w:t>
      </w:r>
    </w:p>
    <w:tbl>
      <w:tblPr>
        <w:tblStyle w:val="3"/>
        <w:tblW w:w="13008" w:type="dxa"/>
        <w:tblInd w:w="0" w:type="dxa"/>
        <w:tblLayout w:type="fixed"/>
        <w:tblCellMar>
          <w:top w:w="0" w:type="dxa"/>
          <w:left w:w="108" w:type="dxa"/>
          <w:bottom w:w="0" w:type="dxa"/>
          <w:right w:w="108" w:type="dxa"/>
        </w:tblCellMar>
      </w:tblPr>
      <w:tblGrid>
        <w:gridCol w:w="1178"/>
        <w:gridCol w:w="456"/>
        <w:gridCol w:w="7972"/>
        <w:gridCol w:w="708"/>
        <w:gridCol w:w="1276"/>
        <w:gridCol w:w="1418"/>
      </w:tblGrid>
      <w:tr>
        <w:tblPrEx>
          <w:tblLayout w:type="fixed"/>
          <w:tblCellMar>
            <w:top w:w="0" w:type="dxa"/>
            <w:left w:w="108" w:type="dxa"/>
            <w:bottom w:w="0" w:type="dxa"/>
            <w:right w:w="108" w:type="dxa"/>
          </w:tblCellMar>
        </w:tblPrEx>
        <w:trPr>
          <w:trHeight w:val="1142"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考评内容</w:t>
            </w:r>
          </w:p>
        </w:tc>
        <w:tc>
          <w:tcPr>
            <w:tcW w:w="456" w:type="dxa"/>
            <w:tcBorders>
              <w:top w:val="single" w:color="auto" w:sz="4" w:space="0"/>
              <w:left w:val="nil"/>
              <w:bottom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序号</w:t>
            </w:r>
          </w:p>
        </w:tc>
        <w:tc>
          <w:tcPr>
            <w:tcW w:w="7972" w:type="dxa"/>
            <w:tcBorders>
              <w:top w:val="single" w:color="auto" w:sz="4" w:space="0"/>
              <w:left w:val="nil"/>
              <w:bottom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考核项目</w:t>
            </w:r>
          </w:p>
        </w:tc>
        <w:tc>
          <w:tcPr>
            <w:tcW w:w="708" w:type="dxa"/>
            <w:tcBorders>
              <w:top w:val="single" w:color="auto" w:sz="4" w:space="0"/>
              <w:left w:val="nil"/>
              <w:bottom w:val="single" w:color="auto" w:sz="4" w:space="0"/>
              <w:right w:val="single" w:color="auto" w:sz="4" w:space="0"/>
            </w:tcBorders>
            <w:vAlign w:val="center"/>
          </w:tcPr>
          <w:p>
            <w:pPr>
              <w:jc w:val="center"/>
              <w:rPr>
                <w:rFonts w:eastAsia="黑体"/>
                <w:sz w:val="24"/>
              </w:rPr>
            </w:pPr>
            <w:r>
              <w:rPr>
                <w:rFonts w:hint="eastAsia" w:eastAsia="黑体"/>
                <w:sz w:val="24"/>
              </w:rPr>
              <w:t>分值</w:t>
            </w:r>
          </w:p>
        </w:tc>
        <w:tc>
          <w:tcPr>
            <w:tcW w:w="1276" w:type="dxa"/>
            <w:tcBorders>
              <w:top w:val="single" w:color="auto" w:sz="4" w:space="0"/>
              <w:left w:val="nil"/>
              <w:bottom w:val="single" w:color="auto" w:sz="4" w:space="0"/>
              <w:right w:val="single" w:color="auto" w:sz="4" w:space="0"/>
            </w:tcBorders>
            <w:vAlign w:val="center"/>
          </w:tcPr>
          <w:p>
            <w:pPr>
              <w:jc w:val="center"/>
              <w:rPr>
                <w:rFonts w:eastAsia="黑体"/>
                <w:sz w:val="24"/>
              </w:rPr>
            </w:pPr>
            <w:r>
              <w:rPr>
                <w:rFonts w:hint="eastAsia" w:eastAsia="黑体"/>
                <w:sz w:val="24"/>
              </w:rPr>
              <w:t>申报单位自评记分</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sz w:val="24"/>
              </w:rPr>
            </w:pPr>
            <w:r>
              <w:rPr>
                <w:rFonts w:hint="eastAsia" w:eastAsia="黑体"/>
                <w:sz w:val="24"/>
              </w:rPr>
              <w:t>县市区</w:t>
            </w:r>
          </w:p>
          <w:p>
            <w:pPr>
              <w:jc w:val="center"/>
              <w:rPr>
                <w:rFonts w:eastAsia="黑体"/>
                <w:sz w:val="24"/>
              </w:rPr>
            </w:pPr>
            <w:r>
              <w:rPr>
                <w:rFonts w:hint="eastAsia" w:eastAsia="黑体"/>
                <w:sz w:val="24"/>
              </w:rPr>
              <w:t>初审记分</w:t>
            </w:r>
          </w:p>
        </w:tc>
      </w:tr>
      <w:tr>
        <w:tblPrEx>
          <w:tblLayout w:type="fixed"/>
          <w:tblCellMar>
            <w:top w:w="0" w:type="dxa"/>
            <w:left w:w="108" w:type="dxa"/>
            <w:bottom w:w="0" w:type="dxa"/>
            <w:right w:w="108" w:type="dxa"/>
          </w:tblCellMar>
        </w:tblPrEx>
        <w:trPr>
          <w:trHeight w:val="1016" w:hRule="atLeast"/>
        </w:trPr>
        <w:tc>
          <w:tcPr>
            <w:tcW w:w="1178" w:type="dxa"/>
            <w:vMerge w:val="restart"/>
            <w:tcBorders>
              <w:top w:val="nil"/>
              <w:left w:val="single" w:color="auto" w:sz="4" w:space="0"/>
              <w:bottom w:val="single" w:color="000000" w:sz="4" w:space="0"/>
              <w:right w:val="single" w:color="auto" w:sz="4" w:space="0"/>
            </w:tcBorders>
            <w:vAlign w:val="center"/>
          </w:tcPr>
          <w:p>
            <w:pPr>
              <w:spacing w:line="400" w:lineRule="exact"/>
              <w:jc w:val="center"/>
              <w:rPr>
                <w:rFonts w:eastAsia="黑体"/>
                <w:sz w:val="24"/>
              </w:rPr>
            </w:pPr>
            <w:r>
              <w:rPr>
                <w:rFonts w:hint="eastAsia" w:eastAsia="黑体"/>
                <w:sz w:val="24"/>
              </w:rPr>
              <w:t>基本条件</w:t>
            </w:r>
          </w:p>
          <w:p>
            <w:pPr>
              <w:spacing w:line="400" w:lineRule="exact"/>
              <w:jc w:val="center"/>
              <w:rPr>
                <w:rFonts w:eastAsia="黑体"/>
                <w:sz w:val="24"/>
              </w:rPr>
            </w:pPr>
            <w:r>
              <w:rPr>
                <w:rFonts w:hint="eastAsia" w:eastAsia="黑体"/>
                <w:sz w:val="24"/>
              </w:rPr>
              <w:t>（</w:t>
            </w:r>
            <w:r>
              <w:rPr>
                <w:rFonts w:eastAsia="黑体"/>
                <w:sz w:val="24"/>
              </w:rPr>
              <w:t>30</w:t>
            </w:r>
            <w:r>
              <w:rPr>
                <w:rFonts w:hint="eastAsia" w:eastAsia="黑体"/>
                <w:sz w:val="24"/>
              </w:rPr>
              <w:t>分</w:t>
            </w:r>
            <w:r>
              <w:rPr>
                <w:rFonts w:eastAsia="黑体"/>
                <w:sz w:val="24"/>
              </w:rPr>
              <w:t>)</w:t>
            </w:r>
          </w:p>
        </w:tc>
        <w:tc>
          <w:tcPr>
            <w:tcW w:w="456" w:type="dxa"/>
            <w:tcBorders>
              <w:top w:val="nil"/>
              <w:left w:val="nil"/>
              <w:bottom w:val="single" w:color="auto" w:sz="4" w:space="0"/>
              <w:right w:val="single" w:color="auto" w:sz="4" w:space="0"/>
            </w:tcBorders>
            <w:vAlign w:val="center"/>
          </w:tcPr>
          <w:p>
            <w:pPr>
              <w:spacing w:line="400" w:lineRule="exact"/>
              <w:rPr>
                <w:sz w:val="24"/>
              </w:rPr>
            </w:pPr>
            <w:r>
              <w:rPr>
                <w:sz w:val="24"/>
              </w:rPr>
              <w:t>1</w:t>
            </w:r>
          </w:p>
        </w:tc>
        <w:tc>
          <w:tcPr>
            <w:tcW w:w="7972" w:type="dxa"/>
            <w:tcBorders>
              <w:top w:val="nil"/>
              <w:left w:val="nil"/>
              <w:bottom w:val="single" w:color="auto" w:sz="4" w:space="0"/>
              <w:right w:val="single" w:color="auto" w:sz="4" w:space="0"/>
            </w:tcBorders>
            <w:vAlign w:val="center"/>
          </w:tcPr>
          <w:p>
            <w:pPr>
              <w:spacing w:line="400" w:lineRule="exact"/>
              <w:rPr>
                <w:sz w:val="24"/>
              </w:rPr>
            </w:pPr>
            <w:r>
              <w:rPr>
                <w:rFonts w:hint="eastAsia"/>
                <w:sz w:val="24"/>
              </w:rPr>
              <w:t>自主创业就业个体工商户负责人自创业以来无违法经营记录的记</w:t>
            </w:r>
            <w:r>
              <w:rPr>
                <w:sz w:val="24"/>
              </w:rPr>
              <w:t>5</w:t>
            </w:r>
            <w:r>
              <w:rPr>
                <w:rFonts w:hint="eastAsia"/>
                <w:sz w:val="24"/>
              </w:rPr>
              <w:t>分，否则不记分。</w:t>
            </w:r>
          </w:p>
        </w:tc>
        <w:tc>
          <w:tcPr>
            <w:tcW w:w="708" w:type="dxa"/>
            <w:tcBorders>
              <w:top w:val="nil"/>
              <w:left w:val="nil"/>
              <w:bottom w:val="single" w:color="auto" w:sz="4" w:space="0"/>
              <w:right w:val="single" w:color="auto" w:sz="4" w:space="0"/>
            </w:tcBorders>
            <w:vAlign w:val="center"/>
          </w:tcPr>
          <w:p>
            <w:pPr>
              <w:spacing w:line="320" w:lineRule="exact"/>
              <w:jc w:val="center"/>
              <w:rPr>
                <w:sz w:val="24"/>
              </w:rPr>
            </w:pPr>
            <w:r>
              <w:rPr>
                <w:sz w:val="24"/>
              </w:rPr>
              <w:t>5</w:t>
            </w:r>
          </w:p>
        </w:tc>
        <w:tc>
          <w:tcPr>
            <w:tcW w:w="1276"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418" w:type="dxa"/>
            <w:tcBorders>
              <w:top w:val="nil"/>
              <w:left w:val="single" w:color="auto" w:sz="4" w:space="0"/>
              <w:bottom w:val="single" w:color="auto" w:sz="4" w:space="0"/>
              <w:right w:val="single" w:color="auto" w:sz="4" w:space="0"/>
            </w:tcBorders>
            <w:vAlign w:val="center"/>
          </w:tcPr>
          <w:p>
            <w:pPr>
              <w:spacing w:line="320" w:lineRule="exact"/>
              <w:jc w:val="center"/>
              <w:rPr>
                <w:sz w:val="24"/>
              </w:rPr>
            </w:pPr>
            <w:r>
              <w:rPr>
                <w:rFonts w:hint="eastAsia"/>
                <w:sz w:val="24"/>
              </w:rPr>
              <w:t>　</w:t>
            </w:r>
          </w:p>
        </w:tc>
      </w:tr>
      <w:tr>
        <w:tblPrEx>
          <w:tblLayout w:type="fixed"/>
          <w:tblCellMar>
            <w:top w:w="0" w:type="dxa"/>
            <w:left w:w="108" w:type="dxa"/>
            <w:bottom w:w="0" w:type="dxa"/>
            <w:right w:w="108" w:type="dxa"/>
          </w:tblCellMar>
        </w:tblPrEx>
        <w:trPr>
          <w:trHeight w:val="1287" w:hRule="atLeast"/>
        </w:trPr>
        <w:tc>
          <w:tcPr>
            <w:tcW w:w="1178" w:type="dxa"/>
            <w:vMerge w:val="continue"/>
            <w:tcBorders>
              <w:top w:val="nil"/>
              <w:left w:val="single" w:color="auto" w:sz="4" w:space="0"/>
              <w:bottom w:val="single" w:color="000000" w:sz="4" w:space="0"/>
              <w:right w:val="single" w:color="auto" w:sz="4" w:space="0"/>
            </w:tcBorders>
            <w:vAlign w:val="center"/>
          </w:tcPr>
          <w:p>
            <w:pPr>
              <w:spacing w:line="400" w:lineRule="exact"/>
              <w:rPr>
                <w:rFonts w:eastAsia="黑体"/>
                <w:sz w:val="24"/>
              </w:rPr>
            </w:pPr>
          </w:p>
        </w:tc>
        <w:tc>
          <w:tcPr>
            <w:tcW w:w="456" w:type="dxa"/>
            <w:tcBorders>
              <w:top w:val="nil"/>
              <w:left w:val="nil"/>
              <w:bottom w:val="single" w:color="auto" w:sz="4" w:space="0"/>
              <w:right w:val="single" w:color="auto" w:sz="4" w:space="0"/>
            </w:tcBorders>
            <w:vAlign w:val="center"/>
          </w:tcPr>
          <w:p>
            <w:pPr>
              <w:spacing w:line="400" w:lineRule="exact"/>
              <w:rPr>
                <w:sz w:val="24"/>
              </w:rPr>
            </w:pPr>
            <w:r>
              <w:rPr>
                <w:sz w:val="24"/>
              </w:rPr>
              <w:t>2</w:t>
            </w:r>
          </w:p>
        </w:tc>
        <w:tc>
          <w:tcPr>
            <w:tcW w:w="7972" w:type="dxa"/>
            <w:tcBorders>
              <w:top w:val="nil"/>
              <w:left w:val="nil"/>
              <w:bottom w:val="single" w:color="auto" w:sz="4" w:space="0"/>
              <w:right w:val="single" w:color="auto" w:sz="4" w:space="0"/>
            </w:tcBorders>
            <w:vAlign w:val="center"/>
          </w:tcPr>
          <w:p>
            <w:pPr>
              <w:spacing w:line="400" w:lineRule="exact"/>
              <w:rPr>
                <w:rFonts w:eastAsia="宋体"/>
                <w:sz w:val="24"/>
              </w:rPr>
            </w:pPr>
            <w:r>
              <w:rPr>
                <w:rFonts w:hint="eastAsia"/>
                <w:sz w:val="24"/>
              </w:rPr>
              <w:t>创业处于起步阶段，符合国家产业发展方向（除广告业、桑拿、按摩、网吧以及其他国家政策不予鼓励的产业外），具有一定科技含量和发展潜力的记</w:t>
            </w:r>
            <w:r>
              <w:rPr>
                <w:sz w:val="24"/>
              </w:rPr>
              <w:t>10</w:t>
            </w:r>
            <w:r>
              <w:rPr>
                <w:rFonts w:hint="eastAsia"/>
                <w:sz w:val="24"/>
              </w:rPr>
              <w:t>分，一般的记</w:t>
            </w:r>
            <w:r>
              <w:rPr>
                <w:sz w:val="24"/>
              </w:rPr>
              <w:t xml:space="preserve"> 5</w:t>
            </w:r>
            <w:r>
              <w:rPr>
                <w:rFonts w:hint="eastAsia"/>
                <w:sz w:val="24"/>
              </w:rPr>
              <w:t>分，无科技含量和发展潜力的不记分。</w:t>
            </w:r>
          </w:p>
        </w:tc>
        <w:tc>
          <w:tcPr>
            <w:tcW w:w="708" w:type="dxa"/>
            <w:tcBorders>
              <w:top w:val="nil"/>
              <w:left w:val="nil"/>
              <w:bottom w:val="single" w:color="auto" w:sz="4" w:space="0"/>
              <w:right w:val="single" w:color="auto" w:sz="4" w:space="0"/>
            </w:tcBorders>
            <w:vAlign w:val="center"/>
          </w:tcPr>
          <w:p>
            <w:pPr>
              <w:spacing w:line="320" w:lineRule="exact"/>
              <w:jc w:val="center"/>
              <w:rPr>
                <w:sz w:val="24"/>
              </w:rPr>
            </w:pPr>
            <w:r>
              <w:rPr>
                <w:sz w:val="24"/>
              </w:rPr>
              <w:t>10</w:t>
            </w:r>
          </w:p>
        </w:tc>
        <w:tc>
          <w:tcPr>
            <w:tcW w:w="1276"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418" w:type="dxa"/>
            <w:tcBorders>
              <w:top w:val="nil"/>
              <w:left w:val="single" w:color="auto" w:sz="4" w:space="0"/>
              <w:bottom w:val="single" w:color="auto" w:sz="4" w:space="0"/>
              <w:right w:val="single" w:color="auto" w:sz="4" w:space="0"/>
            </w:tcBorders>
            <w:vAlign w:val="center"/>
          </w:tcPr>
          <w:p>
            <w:pPr>
              <w:spacing w:line="320" w:lineRule="exact"/>
              <w:jc w:val="center"/>
              <w:rPr>
                <w:sz w:val="24"/>
              </w:rPr>
            </w:pPr>
            <w:r>
              <w:rPr>
                <w:rFonts w:hint="eastAsia"/>
                <w:sz w:val="24"/>
              </w:rPr>
              <w:t>　</w:t>
            </w:r>
          </w:p>
        </w:tc>
      </w:tr>
      <w:tr>
        <w:tblPrEx>
          <w:tblLayout w:type="fixed"/>
          <w:tblCellMar>
            <w:top w:w="0" w:type="dxa"/>
            <w:left w:w="108" w:type="dxa"/>
            <w:bottom w:w="0" w:type="dxa"/>
            <w:right w:w="108" w:type="dxa"/>
          </w:tblCellMar>
        </w:tblPrEx>
        <w:trPr>
          <w:trHeight w:val="1043" w:hRule="atLeast"/>
        </w:trPr>
        <w:tc>
          <w:tcPr>
            <w:tcW w:w="1178" w:type="dxa"/>
            <w:vMerge w:val="continue"/>
            <w:tcBorders>
              <w:top w:val="nil"/>
              <w:left w:val="single" w:color="auto" w:sz="4" w:space="0"/>
              <w:bottom w:val="single" w:color="000000" w:sz="4" w:space="0"/>
              <w:right w:val="single" w:color="auto" w:sz="4" w:space="0"/>
            </w:tcBorders>
            <w:vAlign w:val="center"/>
          </w:tcPr>
          <w:p>
            <w:pPr>
              <w:spacing w:line="400" w:lineRule="exact"/>
              <w:rPr>
                <w:rFonts w:eastAsia="黑体"/>
                <w:sz w:val="24"/>
              </w:rPr>
            </w:pPr>
          </w:p>
        </w:tc>
        <w:tc>
          <w:tcPr>
            <w:tcW w:w="456" w:type="dxa"/>
            <w:tcBorders>
              <w:top w:val="nil"/>
              <w:left w:val="nil"/>
              <w:bottom w:val="single" w:color="auto" w:sz="4" w:space="0"/>
              <w:right w:val="single" w:color="auto" w:sz="4" w:space="0"/>
            </w:tcBorders>
            <w:vAlign w:val="center"/>
          </w:tcPr>
          <w:p>
            <w:pPr>
              <w:spacing w:line="400" w:lineRule="exact"/>
              <w:rPr>
                <w:sz w:val="24"/>
              </w:rPr>
            </w:pPr>
            <w:r>
              <w:rPr>
                <w:sz w:val="24"/>
              </w:rPr>
              <w:t>3</w:t>
            </w:r>
          </w:p>
        </w:tc>
        <w:tc>
          <w:tcPr>
            <w:tcW w:w="7972" w:type="dxa"/>
            <w:tcBorders>
              <w:top w:val="nil"/>
              <w:left w:val="nil"/>
              <w:bottom w:val="single" w:color="auto" w:sz="4" w:space="0"/>
              <w:right w:val="single" w:color="auto" w:sz="4" w:space="0"/>
            </w:tcBorders>
            <w:vAlign w:val="center"/>
          </w:tcPr>
          <w:p>
            <w:pPr>
              <w:spacing w:line="400" w:lineRule="exact"/>
              <w:rPr>
                <w:sz w:val="24"/>
              </w:rPr>
            </w:pPr>
            <w:r>
              <w:rPr>
                <w:rFonts w:hint="eastAsia"/>
                <w:sz w:val="24"/>
              </w:rPr>
              <w:t>创业时间</w:t>
            </w:r>
            <w:r>
              <w:rPr>
                <w:sz w:val="24"/>
              </w:rPr>
              <w:t>1</w:t>
            </w:r>
            <w:r>
              <w:rPr>
                <w:rFonts w:hint="eastAsia"/>
                <w:sz w:val="24"/>
              </w:rPr>
              <w:t>年以上、</w:t>
            </w:r>
            <w:r>
              <w:rPr>
                <w:sz w:val="24"/>
              </w:rPr>
              <w:t>2</w:t>
            </w:r>
            <w:r>
              <w:rPr>
                <w:rFonts w:hint="eastAsia"/>
                <w:sz w:val="24"/>
              </w:rPr>
              <w:t>年以内记</w:t>
            </w:r>
            <w:r>
              <w:rPr>
                <w:sz w:val="24"/>
              </w:rPr>
              <w:t>10</w:t>
            </w:r>
            <w:r>
              <w:rPr>
                <w:rFonts w:hint="eastAsia"/>
                <w:sz w:val="24"/>
              </w:rPr>
              <w:t>分，</w:t>
            </w:r>
            <w:r>
              <w:rPr>
                <w:sz w:val="24"/>
              </w:rPr>
              <w:t xml:space="preserve">2 </w:t>
            </w:r>
            <w:r>
              <w:rPr>
                <w:rFonts w:hint="eastAsia"/>
                <w:sz w:val="24"/>
              </w:rPr>
              <w:t>年以上、</w:t>
            </w:r>
            <w:r>
              <w:rPr>
                <w:sz w:val="24"/>
              </w:rPr>
              <w:t>3</w:t>
            </w:r>
            <w:r>
              <w:rPr>
                <w:rFonts w:hint="eastAsia"/>
                <w:sz w:val="24"/>
              </w:rPr>
              <w:t>年以内记</w:t>
            </w:r>
            <w:r>
              <w:rPr>
                <w:sz w:val="24"/>
              </w:rPr>
              <w:t>8</w:t>
            </w:r>
            <w:r>
              <w:rPr>
                <w:rFonts w:hint="eastAsia"/>
                <w:sz w:val="24"/>
              </w:rPr>
              <w:t>分，</w:t>
            </w:r>
            <w:r>
              <w:rPr>
                <w:sz w:val="24"/>
              </w:rPr>
              <w:t>3</w:t>
            </w:r>
            <w:r>
              <w:rPr>
                <w:rFonts w:hint="eastAsia"/>
                <w:sz w:val="24"/>
              </w:rPr>
              <w:t>年以上、</w:t>
            </w:r>
            <w:r>
              <w:rPr>
                <w:sz w:val="24"/>
              </w:rPr>
              <w:t>4</w:t>
            </w:r>
            <w:r>
              <w:rPr>
                <w:rFonts w:hint="eastAsia"/>
                <w:sz w:val="24"/>
              </w:rPr>
              <w:t>年以内记</w:t>
            </w:r>
            <w:r>
              <w:rPr>
                <w:sz w:val="24"/>
              </w:rPr>
              <w:t>6</w:t>
            </w:r>
            <w:r>
              <w:rPr>
                <w:rFonts w:hint="eastAsia"/>
                <w:sz w:val="24"/>
              </w:rPr>
              <w:t>分，</w:t>
            </w:r>
            <w:r>
              <w:rPr>
                <w:sz w:val="24"/>
              </w:rPr>
              <w:t>4</w:t>
            </w:r>
            <w:r>
              <w:rPr>
                <w:rFonts w:hint="eastAsia"/>
                <w:sz w:val="24"/>
              </w:rPr>
              <w:t>年以上、</w:t>
            </w:r>
            <w:r>
              <w:rPr>
                <w:sz w:val="24"/>
              </w:rPr>
              <w:t>5</w:t>
            </w:r>
            <w:r>
              <w:rPr>
                <w:rFonts w:hint="eastAsia"/>
                <w:sz w:val="24"/>
              </w:rPr>
              <w:t>年以内记</w:t>
            </w:r>
            <w:r>
              <w:rPr>
                <w:sz w:val="24"/>
              </w:rPr>
              <w:t>4</w:t>
            </w:r>
            <w:r>
              <w:rPr>
                <w:rFonts w:hint="eastAsia"/>
                <w:sz w:val="24"/>
              </w:rPr>
              <w:t>分。</w:t>
            </w:r>
          </w:p>
        </w:tc>
        <w:tc>
          <w:tcPr>
            <w:tcW w:w="708" w:type="dxa"/>
            <w:tcBorders>
              <w:top w:val="nil"/>
              <w:left w:val="nil"/>
              <w:bottom w:val="single" w:color="auto" w:sz="4" w:space="0"/>
              <w:right w:val="single" w:color="auto" w:sz="4" w:space="0"/>
            </w:tcBorders>
            <w:vAlign w:val="center"/>
          </w:tcPr>
          <w:p>
            <w:pPr>
              <w:spacing w:line="320" w:lineRule="exact"/>
              <w:jc w:val="center"/>
              <w:rPr>
                <w:sz w:val="24"/>
              </w:rPr>
            </w:pPr>
            <w:r>
              <w:rPr>
                <w:sz w:val="24"/>
              </w:rPr>
              <w:t>10</w:t>
            </w:r>
          </w:p>
        </w:tc>
        <w:tc>
          <w:tcPr>
            <w:tcW w:w="1276"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418" w:type="dxa"/>
            <w:tcBorders>
              <w:top w:val="nil"/>
              <w:left w:val="single" w:color="auto" w:sz="4" w:space="0"/>
              <w:bottom w:val="single" w:color="auto" w:sz="4" w:space="0"/>
              <w:right w:val="single" w:color="auto" w:sz="4" w:space="0"/>
            </w:tcBorders>
            <w:vAlign w:val="center"/>
          </w:tcPr>
          <w:p>
            <w:pPr>
              <w:spacing w:line="320" w:lineRule="exact"/>
              <w:jc w:val="center"/>
              <w:rPr>
                <w:sz w:val="24"/>
              </w:rPr>
            </w:pPr>
            <w:r>
              <w:rPr>
                <w:rFonts w:hint="eastAsia"/>
                <w:sz w:val="24"/>
              </w:rPr>
              <w:t>　</w:t>
            </w:r>
          </w:p>
        </w:tc>
      </w:tr>
      <w:tr>
        <w:tblPrEx>
          <w:tblLayout w:type="fixed"/>
          <w:tblCellMar>
            <w:top w:w="0" w:type="dxa"/>
            <w:left w:w="108" w:type="dxa"/>
            <w:bottom w:w="0" w:type="dxa"/>
            <w:right w:w="108" w:type="dxa"/>
          </w:tblCellMar>
        </w:tblPrEx>
        <w:trPr>
          <w:trHeight w:val="1085" w:hRule="atLeast"/>
        </w:trPr>
        <w:tc>
          <w:tcPr>
            <w:tcW w:w="1178" w:type="dxa"/>
            <w:vMerge w:val="continue"/>
            <w:tcBorders>
              <w:top w:val="nil"/>
              <w:left w:val="single" w:color="auto" w:sz="4" w:space="0"/>
              <w:bottom w:val="single" w:color="auto" w:sz="4" w:space="0"/>
              <w:right w:val="single" w:color="auto" w:sz="4" w:space="0"/>
            </w:tcBorders>
            <w:vAlign w:val="center"/>
          </w:tcPr>
          <w:p>
            <w:pPr>
              <w:spacing w:line="400" w:lineRule="exact"/>
              <w:rPr>
                <w:rFonts w:eastAsia="黑体"/>
                <w:sz w:val="24"/>
              </w:rPr>
            </w:pPr>
          </w:p>
        </w:tc>
        <w:tc>
          <w:tcPr>
            <w:tcW w:w="456" w:type="dxa"/>
            <w:tcBorders>
              <w:top w:val="nil"/>
              <w:left w:val="nil"/>
              <w:bottom w:val="single" w:color="auto" w:sz="4" w:space="0"/>
              <w:right w:val="single" w:color="auto" w:sz="4" w:space="0"/>
            </w:tcBorders>
            <w:vAlign w:val="center"/>
          </w:tcPr>
          <w:p>
            <w:pPr>
              <w:spacing w:line="400" w:lineRule="exact"/>
              <w:rPr>
                <w:sz w:val="24"/>
              </w:rPr>
            </w:pPr>
            <w:r>
              <w:rPr>
                <w:sz w:val="24"/>
              </w:rPr>
              <w:t>4</w:t>
            </w:r>
          </w:p>
        </w:tc>
        <w:tc>
          <w:tcPr>
            <w:tcW w:w="7972" w:type="dxa"/>
            <w:tcBorders>
              <w:top w:val="nil"/>
              <w:left w:val="nil"/>
              <w:bottom w:val="single" w:color="auto" w:sz="4" w:space="0"/>
              <w:right w:val="single" w:color="auto" w:sz="4" w:space="0"/>
            </w:tcBorders>
            <w:vAlign w:val="center"/>
          </w:tcPr>
          <w:p>
            <w:pPr>
              <w:spacing w:line="400" w:lineRule="exact"/>
              <w:rPr>
                <w:b/>
                <w:sz w:val="24"/>
              </w:rPr>
            </w:pPr>
            <w:r>
              <w:rPr>
                <w:rFonts w:hint="eastAsia"/>
                <w:sz w:val="24"/>
              </w:rPr>
              <w:t>产权明晰，自主、合法经营，有自主知识产权并无其他法律纠纷的记</w:t>
            </w:r>
            <w:r>
              <w:rPr>
                <w:sz w:val="24"/>
              </w:rPr>
              <w:t>5</w:t>
            </w:r>
            <w:r>
              <w:rPr>
                <w:rFonts w:hint="eastAsia"/>
                <w:sz w:val="24"/>
              </w:rPr>
              <w:t>分，否则不记分。</w:t>
            </w:r>
          </w:p>
        </w:tc>
        <w:tc>
          <w:tcPr>
            <w:tcW w:w="708" w:type="dxa"/>
            <w:tcBorders>
              <w:top w:val="nil"/>
              <w:left w:val="nil"/>
              <w:bottom w:val="single" w:color="auto" w:sz="4" w:space="0"/>
              <w:right w:val="single" w:color="auto" w:sz="4" w:space="0"/>
            </w:tcBorders>
            <w:vAlign w:val="center"/>
          </w:tcPr>
          <w:p>
            <w:pPr>
              <w:spacing w:line="320" w:lineRule="exact"/>
              <w:jc w:val="center"/>
              <w:rPr>
                <w:sz w:val="24"/>
              </w:rPr>
            </w:pPr>
            <w:r>
              <w:rPr>
                <w:sz w:val="24"/>
              </w:rPr>
              <w:t>5</w:t>
            </w:r>
          </w:p>
        </w:tc>
        <w:tc>
          <w:tcPr>
            <w:tcW w:w="1276"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418" w:type="dxa"/>
            <w:tcBorders>
              <w:top w:val="nil"/>
              <w:left w:val="single" w:color="auto" w:sz="4" w:space="0"/>
              <w:bottom w:val="single" w:color="auto" w:sz="4" w:space="0"/>
              <w:right w:val="single" w:color="auto" w:sz="4" w:space="0"/>
            </w:tcBorders>
            <w:vAlign w:val="center"/>
          </w:tcPr>
          <w:p>
            <w:pPr>
              <w:spacing w:line="320" w:lineRule="exact"/>
              <w:jc w:val="center"/>
              <w:rPr>
                <w:sz w:val="24"/>
              </w:rPr>
            </w:pPr>
            <w:r>
              <w:rPr>
                <w:rFonts w:hint="eastAsia"/>
                <w:sz w:val="24"/>
              </w:rPr>
              <w:t>　</w:t>
            </w:r>
          </w:p>
        </w:tc>
      </w:tr>
      <w:tr>
        <w:tblPrEx>
          <w:tblLayout w:type="fixed"/>
          <w:tblCellMar>
            <w:top w:w="0" w:type="dxa"/>
            <w:left w:w="108" w:type="dxa"/>
            <w:bottom w:w="0" w:type="dxa"/>
            <w:right w:w="108" w:type="dxa"/>
          </w:tblCellMar>
        </w:tblPrEx>
        <w:trPr>
          <w:trHeight w:val="2406"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带动就业效果</w:t>
            </w:r>
          </w:p>
          <w:p>
            <w:pPr>
              <w:spacing w:line="400" w:lineRule="exact"/>
              <w:jc w:val="center"/>
              <w:rPr>
                <w:rFonts w:eastAsia="黑体"/>
                <w:sz w:val="24"/>
              </w:rPr>
            </w:pPr>
            <w:r>
              <w:rPr>
                <w:rFonts w:hint="eastAsia" w:eastAsia="黑体"/>
                <w:sz w:val="24"/>
              </w:rPr>
              <w:t>（</w:t>
            </w:r>
            <w:r>
              <w:rPr>
                <w:rFonts w:eastAsia="黑体"/>
                <w:sz w:val="24"/>
              </w:rPr>
              <w:t>35</w:t>
            </w:r>
            <w:r>
              <w:rPr>
                <w:rFonts w:hint="eastAsia" w:eastAsia="黑体"/>
                <w:sz w:val="24"/>
              </w:rPr>
              <w:t>分）</w:t>
            </w: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5</w:t>
            </w:r>
          </w:p>
        </w:tc>
        <w:tc>
          <w:tcPr>
            <w:tcW w:w="7972" w:type="dxa"/>
            <w:tcBorders>
              <w:top w:val="single" w:color="auto" w:sz="4" w:space="0"/>
              <w:left w:val="nil"/>
              <w:bottom w:val="single" w:color="auto" w:sz="4" w:space="0"/>
              <w:right w:val="single" w:color="auto" w:sz="4" w:space="0"/>
            </w:tcBorders>
            <w:vAlign w:val="center"/>
          </w:tcPr>
          <w:p>
            <w:pPr>
              <w:spacing w:line="400" w:lineRule="exact"/>
              <w:rPr>
                <w:sz w:val="24"/>
              </w:rPr>
            </w:pPr>
            <w:r>
              <w:rPr>
                <w:rFonts w:hint="eastAsia"/>
                <w:sz w:val="24"/>
              </w:rPr>
              <w:t>自主创业就业个体工商户带动城乡就业年平均不少于</w:t>
            </w:r>
            <w:r>
              <w:rPr>
                <w:sz w:val="24"/>
              </w:rPr>
              <w:t xml:space="preserve">3 </w:t>
            </w:r>
            <w:r>
              <w:rPr>
                <w:rFonts w:hint="eastAsia"/>
                <w:sz w:val="24"/>
              </w:rPr>
              <w:t>人（不包括工商注册者本人）记</w:t>
            </w:r>
            <w:r>
              <w:rPr>
                <w:sz w:val="24"/>
              </w:rPr>
              <w:t>35</w:t>
            </w:r>
            <w:r>
              <w:rPr>
                <w:rFonts w:hint="eastAsia"/>
                <w:sz w:val="24"/>
              </w:rPr>
              <w:t>分，低于上述标准的不记分。个体工商户带动城乡就业每增加</w:t>
            </w:r>
            <w:r>
              <w:rPr>
                <w:sz w:val="24"/>
              </w:rPr>
              <w:t>2</w:t>
            </w:r>
            <w:r>
              <w:rPr>
                <w:rFonts w:hint="eastAsia"/>
                <w:sz w:val="24"/>
              </w:rPr>
              <w:t>人，加</w:t>
            </w:r>
            <w:r>
              <w:rPr>
                <w:sz w:val="24"/>
              </w:rPr>
              <w:t>1</w:t>
            </w:r>
            <w:r>
              <w:rPr>
                <w:rFonts w:hint="eastAsia"/>
                <w:sz w:val="24"/>
              </w:rPr>
              <w:t>分，最多加</w:t>
            </w:r>
            <w:r>
              <w:rPr>
                <w:sz w:val="24"/>
              </w:rPr>
              <w:t>10</w:t>
            </w:r>
            <w:r>
              <w:rPr>
                <w:rFonts w:hint="eastAsia"/>
                <w:sz w:val="24"/>
              </w:rPr>
              <w:t>分。</w:t>
            </w:r>
          </w:p>
        </w:tc>
        <w:tc>
          <w:tcPr>
            <w:tcW w:w="708"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35</w:t>
            </w:r>
          </w:p>
        </w:tc>
        <w:tc>
          <w:tcPr>
            <w:tcW w:w="1276"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418"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r>
        <w:tblPrEx>
          <w:tblLayout w:type="fixed"/>
          <w:tblCellMar>
            <w:top w:w="0" w:type="dxa"/>
            <w:left w:w="108" w:type="dxa"/>
            <w:bottom w:w="0" w:type="dxa"/>
            <w:right w:w="108" w:type="dxa"/>
          </w:tblCellMar>
        </w:tblPrEx>
        <w:trPr>
          <w:trHeight w:val="1393" w:hRule="atLeast"/>
        </w:trPr>
        <w:tc>
          <w:tcPr>
            <w:tcW w:w="1178" w:type="dxa"/>
            <w:vMerge w:val="restart"/>
            <w:tcBorders>
              <w:top w:val="single" w:color="auto" w:sz="4" w:space="0"/>
              <w:left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遵守相关法律法规情况</w:t>
            </w:r>
          </w:p>
          <w:p>
            <w:pPr>
              <w:spacing w:line="400" w:lineRule="exact"/>
              <w:jc w:val="center"/>
              <w:rPr>
                <w:rFonts w:eastAsia="黑体"/>
                <w:sz w:val="24"/>
              </w:rPr>
            </w:pPr>
            <w:r>
              <w:rPr>
                <w:rFonts w:hint="eastAsia" w:eastAsia="黑体"/>
                <w:sz w:val="24"/>
              </w:rPr>
              <w:t>（</w:t>
            </w:r>
            <w:r>
              <w:rPr>
                <w:rFonts w:eastAsia="黑体"/>
                <w:sz w:val="24"/>
              </w:rPr>
              <w:t>35</w:t>
            </w:r>
            <w:r>
              <w:rPr>
                <w:rFonts w:hint="eastAsia" w:eastAsia="黑体"/>
                <w:sz w:val="24"/>
              </w:rPr>
              <w:t>分）</w:t>
            </w: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6</w:t>
            </w:r>
          </w:p>
        </w:tc>
        <w:tc>
          <w:tcPr>
            <w:tcW w:w="7972" w:type="dxa"/>
            <w:tcBorders>
              <w:top w:val="single" w:color="auto" w:sz="4" w:space="0"/>
              <w:left w:val="nil"/>
              <w:bottom w:val="single" w:color="auto" w:sz="4" w:space="0"/>
              <w:right w:val="single" w:color="auto" w:sz="4" w:space="0"/>
            </w:tcBorders>
            <w:vAlign w:val="center"/>
          </w:tcPr>
          <w:p>
            <w:pPr>
              <w:spacing w:line="400" w:lineRule="exact"/>
              <w:rPr>
                <w:sz w:val="24"/>
              </w:rPr>
            </w:pPr>
            <w:r>
              <w:rPr>
                <w:rFonts w:hint="eastAsia"/>
                <w:sz w:val="24"/>
              </w:rPr>
              <w:t>《劳动合同》签订率</w:t>
            </w:r>
            <w:r>
              <w:rPr>
                <w:sz w:val="24"/>
              </w:rPr>
              <w:t>100%</w:t>
            </w:r>
            <w:r>
              <w:rPr>
                <w:rFonts w:hint="eastAsia"/>
                <w:sz w:val="24"/>
              </w:rPr>
              <w:t>的记</w:t>
            </w:r>
            <w:r>
              <w:rPr>
                <w:sz w:val="24"/>
              </w:rPr>
              <w:t>10</w:t>
            </w:r>
            <w:r>
              <w:rPr>
                <w:rFonts w:hint="eastAsia"/>
                <w:sz w:val="24"/>
              </w:rPr>
              <w:t>分，每差</w:t>
            </w:r>
            <w:r>
              <w:rPr>
                <w:sz w:val="24"/>
              </w:rPr>
              <w:t>2</w:t>
            </w:r>
            <w:r>
              <w:rPr>
                <w:rFonts w:hint="eastAsia"/>
                <w:sz w:val="24"/>
              </w:rPr>
              <w:t>个百分点扣</w:t>
            </w:r>
            <w:r>
              <w:rPr>
                <w:sz w:val="24"/>
              </w:rPr>
              <w:t xml:space="preserve">1 </w:t>
            </w:r>
            <w:r>
              <w:rPr>
                <w:rFonts w:hint="eastAsia"/>
                <w:sz w:val="24"/>
              </w:rPr>
              <w:t>分，直至扣满</w:t>
            </w:r>
            <w:r>
              <w:rPr>
                <w:sz w:val="24"/>
              </w:rPr>
              <w:t>10</w:t>
            </w:r>
            <w:r>
              <w:rPr>
                <w:rFonts w:hint="eastAsia"/>
                <w:sz w:val="24"/>
              </w:rPr>
              <w:t>分为止。</w:t>
            </w:r>
          </w:p>
        </w:tc>
        <w:tc>
          <w:tcPr>
            <w:tcW w:w="708"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10</w:t>
            </w:r>
          </w:p>
        </w:tc>
        <w:tc>
          <w:tcPr>
            <w:tcW w:w="1276"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418"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r>
        <w:tblPrEx>
          <w:tblLayout w:type="fixed"/>
          <w:tblCellMar>
            <w:top w:w="0" w:type="dxa"/>
            <w:left w:w="108" w:type="dxa"/>
            <w:bottom w:w="0" w:type="dxa"/>
            <w:right w:w="108" w:type="dxa"/>
          </w:tblCellMar>
        </w:tblPrEx>
        <w:trPr>
          <w:trHeight w:val="1151" w:hRule="atLeast"/>
        </w:trPr>
        <w:tc>
          <w:tcPr>
            <w:tcW w:w="1178" w:type="dxa"/>
            <w:vMerge w:val="continue"/>
            <w:tcBorders>
              <w:top w:val="single" w:color="auto" w:sz="4" w:space="0"/>
              <w:left w:val="single" w:color="auto" w:sz="4" w:space="0"/>
              <w:right w:val="single" w:color="auto" w:sz="4" w:space="0"/>
            </w:tcBorders>
            <w:vAlign w:val="center"/>
          </w:tcPr>
          <w:p>
            <w:pPr>
              <w:spacing w:line="400" w:lineRule="exact"/>
              <w:rPr>
                <w:rFonts w:eastAsia="黑体"/>
                <w:sz w:val="24"/>
              </w:rPr>
            </w:pP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7</w:t>
            </w:r>
          </w:p>
        </w:tc>
        <w:tc>
          <w:tcPr>
            <w:tcW w:w="7972" w:type="dxa"/>
            <w:tcBorders>
              <w:top w:val="single" w:color="auto" w:sz="4" w:space="0"/>
              <w:left w:val="nil"/>
              <w:bottom w:val="single" w:color="auto" w:sz="4" w:space="0"/>
              <w:right w:val="single" w:color="auto" w:sz="4" w:space="0"/>
            </w:tcBorders>
            <w:vAlign w:val="center"/>
          </w:tcPr>
          <w:p>
            <w:pPr>
              <w:spacing w:line="400" w:lineRule="exact"/>
              <w:rPr>
                <w:sz w:val="24"/>
              </w:rPr>
            </w:pPr>
            <w:r>
              <w:rPr>
                <w:rFonts w:hint="eastAsia"/>
                <w:sz w:val="24"/>
              </w:rPr>
              <w:t>按时足额发放员工工资记</w:t>
            </w:r>
            <w:r>
              <w:rPr>
                <w:sz w:val="24"/>
              </w:rPr>
              <w:t>10</w:t>
            </w:r>
            <w:r>
              <w:rPr>
                <w:rFonts w:hint="eastAsia"/>
                <w:sz w:val="24"/>
              </w:rPr>
              <w:t>分，未达到按时足额发放的每次扣</w:t>
            </w:r>
            <w:r>
              <w:rPr>
                <w:sz w:val="24"/>
              </w:rPr>
              <w:t>1</w:t>
            </w:r>
            <w:r>
              <w:rPr>
                <w:rFonts w:hint="eastAsia"/>
                <w:sz w:val="24"/>
              </w:rPr>
              <w:t>分，直至扣满</w:t>
            </w:r>
            <w:r>
              <w:rPr>
                <w:sz w:val="24"/>
              </w:rPr>
              <w:t>10</w:t>
            </w:r>
            <w:r>
              <w:rPr>
                <w:rFonts w:hint="eastAsia"/>
                <w:sz w:val="24"/>
              </w:rPr>
              <w:t>分为止。</w:t>
            </w:r>
          </w:p>
        </w:tc>
        <w:tc>
          <w:tcPr>
            <w:tcW w:w="708"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10</w:t>
            </w:r>
          </w:p>
        </w:tc>
        <w:tc>
          <w:tcPr>
            <w:tcW w:w="1276"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418"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r>
        <w:tblPrEx>
          <w:tblLayout w:type="fixed"/>
          <w:tblCellMar>
            <w:top w:w="0" w:type="dxa"/>
            <w:left w:w="108" w:type="dxa"/>
            <w:bottom w:w="0" w:type="dxa"/>
            <w:right w:w="108" w:type="dxa"/>
          </w:tblCellMar>
        </w:tblPrEx>
        <w:trPr>
          <w:trHeight w:val="1378" w:hRule="atLeast"/>
        </w:trPr>
        <w:tc>
          <w:tcPr>
            <w:tcW w:w="1178" w:type="dxa"/>
            <w:vMerge w:val="continue"/>
            <w:tcBorders>
              <w:top w:val="single" w:color="auto" w:sz="4" w:space="0"/>
              <w:left w:val="single" w:color="auto" w:sz="4" w:space="0"/>
              <w:right w:val="single" w:color="auto" w:sz="4" w:space="0"/>
            </w:tcBorders>
            <w:vAlign w:val="center"/>
          </w:tcPr>
          <w:p>
            <w:pPr>
              <w:spacing w:line="400" w:lineRule="exact"/>
              <w:rPr>
                <w:rFonts w:eastAsia="黑体"/>
                <w:sz w:val="24"/>
              </w:rPr>
            </w:pP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8</w:t>
            </w:r>
          </w:p>
        </w:tc>
        <w:tc>
          <w:tcPr>
            <w:tcW w:w="7972" w:type="dxa"/>
            <w:tcBorders>
              <w:top w:val="nil"/>
              <w:left w:val="nil"/>
              <w:bottom w:val="single" w:color="auto" w:sz="4" w:space="0"/>
              <w:right w:val="single" w:color="auto" w:sz="4" w:space="0"/>
            </w:tcBorders>
            <w:vAlign w:val="center"/>
          </w:tcPr>
          <w:p>
            <w:pPr>
              <w:spacing w:line="400" w:lineRule="exact"/>
              <w:rPr>
                <w:sz w:val="24"/>
              </w:rPr>
            </w:pPr>
            <w:r>
              <w:rPr>
                <w:rFonts w:hint="eastAsia"/>
                <w:sz w:val="24"/>
              </w:rPr>
              <w:t>依法</w:t>
            </w:r>
            <w:r>
              <w:rPr>
                <w:sz w:val="24"/>
              </w:rPr>
              <w:t>100%</w:t>
            </w:r>
            <w:r>
              <w:rPr>
                <w:rFonts w:hint="eastAsia"/>
                <w:sz w:val="24"/>
              </w:rPr>
              <w:t>参加社会保险并按时足额缴费的记</w:t>
            </w:r>
            <w:r>
              <w:rPr>
                <w:sz w:val="24"/>
              </w:rPr>
              <w:t>10</w:t>
            </w:r>
            <w:r>
              <w:rPr>
                <w:rFonts w:hint="eastAsia"/>
                <w:sz w:val="24"/>
              </w:rPr>
              <w:t>分，每差</w:t>
            </w:r>
            <w:r>
              <w:rPr>
                <w:sz w:val="24"/>
              </w:rPr>
              <w:t>2</w:t>
            </w:r>
            <w:r>
              <w:rPr>
                <w:rFonts w:hint="eastAsia"/>
                <w:sz w:val="24"/>
              </w:rPr>
              <w:t>个百分点扣</w:t>
            </w:r>
            <w:r>
              <w:rPr>
                <w:sz w:val="24"/>
              </w:rPr>
              <w:t xml:space="preserve">1 </w:t>
            </w:r>
            <w:r>
              <w:rPr>
                <w:rFonts w:hint="eastAsia"/>
                <w:sz w:val="24"/>
              </w:rPr>
              <w:t>分，直至扣满</w:t>
            </w:r>
            <w:r>
              <w:rPr>
                <w:sz w:val="24"/>
              </w:rPr>
              <w:t>10</w:t>
            </w:r>
            <w:r>
              <w:rPr>
                <w:rFonts w:hint="eastAsia"/>
                <w:sz w:val="24"/>
              </w:rPr>
              <w:t>分为止。</w:t>
            </w:r>
          </w:p>
        </w:tc>
        <w:tc>
          <w:tcPr>
            <w:tcW w:w="708"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10</w:t>
            </w:r>
          </w:p>
        </w:tc>
        <w:tc>
          <w:tcPr>
            <w:tcW w:w="1276"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418"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r>
        <w:tblPrEx>
          <w:tblLayout w:type="fixed"/>
          <w:tblCellMar>
            <w:top w:w="0" w:type="dxa"/>
            <w:left w:w="108" w:type="dxa"/>
            <w:bottom w:w="0" w:type="dxa"/>
            <w:right w:w="108" w:type="dxa"/>
          </w:tblCellMar>
        </w:tblPrEx>
        <w:trPr>
          <w:trHeight w:val="1239" w:hRule="atLeast"/>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eastAsia="黑体"/>
                <w:sz w:val="24"/>
              </w:rPr>
            </w:pP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9</w:t>
            </w:r>
          </w:p>
        </w:tc>
        <w:tc>
          <w:tcPr>
            <w:tcW w:w="7972" w:type="dxa"/>
            <w:tcBorders>
              <w:top w:val="nil"/>
              <w:left w:val="nil"/>
              <w:bottom w:val="single" w:color="auto" w:sz="4" w:space="0"/>
              <w:right w:val="single" w:color="auto" w:sz="4" w:space="0"/>
            </w:tcBorders>
            <w:vAlign w:val="center"/>
          </w:tcPr>
          <w:p>
            <w:pPr>
              <w:spacing w:line="340" w:lineRule="exact"/>
              <w:rPr>
                <w:sz w:val="24"/>
              </w:rPr>
            </w:pPr>
            <w:r>
              <w:rPr>
                <w:rFonts w:hint="eastAsia"/>
                <w:sz w:val="24"/>
              </w:rPr>
              <w:t>创业以来无违反劳动保障法律法规的记</w:t>
            </w:r>
            <w:r>
              <w:rPr>
                <w:sz w:val="24"/>
              </w:rPr>
              <w:t>5</w:t>
            </w:r>
            <w:r>
              <w:rPr>
                <w:rFonts w:hint="eastAsia"/>
                <w:sz w:val="24"/>
              </w:rPr>
              <w:t>分，每发生一起扣</w:t>
            </w:r>
            <w:r>
              <w:rPr>
                <w:sz w:val="24"/>
              </w:rPr>
              <w:t>1</w:t>
            </w:r>
            <w:r>
              <w:rPr>
                <w:rFonts w:hint="eastAsia"/>
                <w:sz w:val="24"/>
              </w:rPr>
              <w:t>分，直至扣满</w:t>
            </w:r>
            <w:r>
              <w:rPr>
                <w:sz w:val="24"/>
              </w:rPr>
              <w:t>5</w:t>
            </w:r>
            <w:r>
              <w:rPr>
                <w:rFonts w:hint="eastAsia"/>
                <w:sz w:val="24"/>
              </w:rPr>
              <w:t>分为止。违反计生综治工作法律法规的不记分，并取消推荐评选资格。</w:t>
            </w:r>
          </w:p>
        </w:tc>
        <w:tc>
          <w:tcPr>
            <w:tcW w:w="708"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5</w:t>
            </w:r>
          </w:p>
        </w:tc>
        <w:tc>
          <w:tcPr>
            <w:tcW w:w="1276"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418"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bl>
    <w:p>
      <w:pPr>
        <w:spacing w:line="592" w:lineRule="exact"/>
        <w:ind w:firstLine="640" w:firstLineChars="200"/>
        <w:rPr>
          <w:sz w:val="32"/>
          <w:szCs w:val="32"/>
        </w:rPr>
      </w:pPr>
    </w:p>
    <w:p>
      <w:pPr>
        <w:spacing w:line="592" w:lineRule="exact"/>
        <w:ind w:firstLine="640" w:firstLineChars="200"/>
        <w:rPr>
          <w:sz w:val="32"/>
          <w:szCs w:val="32"/>
        </w:rPr>
      </w:pPr>
    </w:p>
    <w:p>
      <w:pPr>
        <w:spacing w:line="592" w:lineRule="exact"/>
        <w:ind w:firstLine="640" w:firstLineChars="200"/>
        <w:rPr>
          <w:sz w:val="32"/>
          <w:szCs w:val="32"/>
        </w:rPr>
      </w:pPr>
      <w:r>
        <w:rPr>
          <w:rFonts w:hint="eastAsia" w:eastAsia="黑体"/>
          <w:sz w:val="32"/>
          <w:szCs w:val="32"/>
        </w:rPr>
        <w:t>附件</w:t>
      </w:r>
      <w:r>
        <w:rPr>
          <w:rFonts w:eastAsia="黑体"/>
          <w:sz w:val="32"/>
          <w:szCs w:val="32"/>
        </w:rPr>
        <w:t>2</w:t>
      </w:r>
      <w:r>
        <w:rPr>
          <w:rFonts w:eastAsia="黑体"/>
          <w:sz w:val="32"/>
          <w:szCs w:val="32"/>
        </w:rPr>
        <w:softHyphen/>
      </w:r>
      <w:r>
        <w:rPr>
          <w:rFonts w:eastAsia="黑体"/>
          <w:sz w:val="32"/>
          <w:szCs w:val="32"/>
        </w:rPr>
        <w:t>-2</w:t>
      </w:r>
      <w:r>
        <w:rPr>
          <w:rFonts w:hint="eastAsia" w:eastAsia="黑体"/>
          <w:sz w:val="32"/>
          <w:szCs w:val="32"/>
        </w:rPr>
        <w:t>：</w:t>
      </w:r>
    </w:p>
    <w:p>
      <w:pPr>
        <w:spacing w:line="600" w:lineRule="exact"/>
        <w:ind w:firstLine="646"/>
        <w:jc w:val="center"/>
        <w:rPr>
          <w:rFonts w:eastAsia="方正小标宋简体"/>
          <w:sz w:val="44"/>
          <w:szCs w:val="44"/>
        </w:rPr>
      </w:pPr>
      <w:r>
        <w:rPr>
          <w:rFonts w:hint="eastAsia" w:eastAsia="方正小标宋简体"/>
          <w:sz w:val="44"/>
          <w:szCs w:val="44"/>
        </w:rPr>
        <w:t>岳阳市创新创业带动就业</w:t>
      </w:r>
      <w:r>
        <w:rPr>
          <w:rFonts w:eastAsia="方正小标宋简体"/>
          <w:sz w:val="44"/>
          <w:szCs w:val="44"/>
        </w:rPr>
        <w:t>“</w:t>
      </w:r>
      <w:r>
        <w:rPr>
          <w:rFonts w:hint="eastAsia" w:eastAsia="方正小标宋简体"/>
          <w:sz w:val="44"/>
          <w:szCs w:val="44"/>
        </w:rPr>
        <w:t>百优资助工程</w:t>
      </w:r>
      <w:r>
        <w:rPr>
          <w:rFonts w:eastAsia="方正小标宋简体"/>
          <w:sz w:val="44"/>
          <w:szCs w:val="44"/>
        </w:rPr>
        <w:t>”</w:t>
      </w:r>
      <w:r>
        <w:rPr>
          <w:rFonts w:hint="eastAsia" w:eastAsia="方正小标宋简体"/>
          <w:sz w:val="44"/>
          <w:szCs w:val="44"/>
        </w:rPr>
        <w:t>推荐评审记分表</w:t>
      </w:r>
    </w:p>
    <w:p>
      <w:pPr>
        <w:rPr>
          <w:rFonts w:eastAsia="楷体_GB2312"/>
          <w:sz w:val="32"/>
          <w:szCs w:val="32"/>
        </w:rPr>
      </w:pPr>
      <w:r>
        <w:rPr>
          <w:rFonts w:eastAsia="楷体_GB2312"/>
          <w:sz w:val="32"/>
          <w:szCs w:val="32"/>
        </w:rPr>
        <w:t xml:space="preserve">                                   </w:t>
      </w:r>
      <w:r>
        <w:rPr>
          <w:rFonts w:hint="eastAsia" w:eastAsia="楷体_GB2312"/>
          <w:sz w:val="32"/>
          <w:szCs w:val="32"/>
        </w:rPr>
        <w:t>（适用初创企业）</w:t>
      </w:r>
    </w:p>
    <w:p>
      <w:pPr>
        <w:ind w:firstLine="320" w:firstLineChars="100"/>
        <w:rPr>
          <w:rFonts w:eastAsia="楷体_GB2312"/>
          <w:sz w:val="32"/>
          <w:szCs w:val="32"/>
          <w:u w:val="single"/>
        </w:rPr>
      </w:pPr>
      <w:r>
        <w:rPr>
          <w:rFonts w:hint="eastAsia" w:eastAsia="楷体_GB2312"/>
          <w:sz w:val="32"/>
          <w:szCs w:val="32"/>
        </w:rPr>
        <w:t>申报单位名称：</w:t>
      </w:r>
      <w:r>
        <w:rPr>
          <w:rFonts w:eastAsia="楷体_GB2312"/>
          <w:sz w:val="32"/>
          <w:szCs w:val="32"/>
          <w:u w:val="single"/>
        </w:rPr>
        <w:t xml:space="preserve"> </w:t>
      </w:r>
      <w:r>
        <w:rPr>
          <w:rFonts w:hint="eastAsia" w:eastAsia="楷体_GB2312"/>
          <w:sz w:val="32"/>
          <w:szCs w:val="32"/>
          <w:u w:val="single"/>
        </w:rPr>
        <w:t>（盖章）</w:t>
      </w:r>
      <w:r>
        <w:rPr>
          <w:rFonts w:eastAsia="楷体_GB2312"/>
          <w:sz w:val="32"/>
          <w:szCs w:val="32"/>
          <w:u w:val="single"/>
        </w:rPr>
        <w:t xml:space="preserve">                       </w:t>
      </w:r>
    </w:p>
    <w:tbl>
      <w:tblPr>
        <w:tblStyle w:val="3"/>
        <w:tblW w:w="12994" w:type="dxa"/>
        <w:tblInd w:w="439" w:type="dxa"/>
        <w:tblLayout w:type="fixed"/>
        <w:tblCellMar>
          <w:top w:w="0" w:type="dxa"/>
          <w:left w:w="108" w:type="dxa"/>
          <w:bottom w:w="0" w:type="dxa"/>
          <w:right w:w="108" w:type="dxa"/>
        </w:tblCellMar>
      </w:tblPr>
      <w:tblGrid>
        <w:gridCol w:w="1178"/>
        <w:gridCol w:w="456"/>
        <w:gridCol w:w="8163"/>
        <w:gridCol w:w="709"/>
        <w:gridCol w:w="1212"/>
        <w:gridCol w:w="1276"/>
      </w:tblGrid>
      <w:tr>
        <w:tblPrEx>
          <w:tblLayout w:type="fixed"/>
          <w:tblCellMar>
            <w:top w:w="0" w:type="dxa"/>
            <w:left w:w="108" w:type="dxa"/>
            <w:bottom w:w="0" w:type="dxa"/>
            <w:right w:w="108" w:type="dxa"/>
          </w:tblCellMar>
        </w:tblPrEx>
        <w:trPr>
          <w:trHeight w:val="1142"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考评内容</w:t>
            </w:r>
          </w:p>
        </w:tc>
        <w:tc>
          <w:tcPr>
            <w:tcW w:w="456" w:type="dxa"/>
            <w:tcBorders>
              <w:top w:val="single" w:color="auto" w:sz="4" w:space="0"/>
              <w:left w:val="nil"/>
              <w:bottom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序号</w:t>
            </w:r>
          </w:p>
        </w:tc>
        <w:tc>
          <w:tcPr>
            <w:tcW w:w="8163" w:type="dxa"/>
            <w:tcBorders>
              <w:top w:val="single" w:color="auto" w:sz="4" w:space="0"/>
              <w:left w:val="nil"/>
              <w:bottom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考核项目</w:t>
            </w:r>
          </w:p>
        </w:tc>
        <w:tc>
          <w:tcPr>
            <w:tcW w:w="709" w:type="dxa"/>
            <w:tcBorders>
              <w:top w:val="single" w:color="auto" w:sz="4" w:space="0"/>
              <w:left w:val="nil"/>
              <w:bottom w:val="single" w:color="auto" w:sz="4" w:space="0"/>
              <w:right w:val="single" w:color="auto" w:sz="4" w:space="0"/>
            </w:tcBorders>
            <w:vAlign w:val="center"/>
          </w:tcPr>
          <w:p>
            <w:pPr>
              <w:jc w:val="center"/>
              <w:rPr>
                <w:rFonts w:eastAsia="黑体"/>
                <w:sz w:val="24"/>
              </w:rPr>
            </w:pPr>
            <w:r>
              <w:rPr>
                <w:rFonts w:hint="eastAsia" w:eastAsia="黑体"/>
                <w:sz w:val="24"/>
              </w:rPr>
              <w:t>分值</w:t>
            </w:r>
          </w:p>
        </w:tc>
        <w:tc>
          <w:tcPr>
            <w:tcW w:w="1212" w:type="dxa"/>
            <w:tcBorders>
              <w:top w:val="single" w:color="auto" w:sz="4" w:space="0"/>
              <w:left w:val="nil"/>
              <w:bottom w:val="single" w:color="auto" w:sz="4" w:space="0"/>
              <w:right w:val="single" w:color="auto" w:sz="4" w:space="0"/>
            </w:tcBorders>
            <w:vAlign w:val="center"/>
          </w:tcPr>
          <w:p>
            <w:pPr>
              <w:jc w:val="center"/>
              <w:rPr>
                <w:rFonts w:eastAsia="黑体"/>
                <w:sz w:val="24"/>
              </w:rPr>
            </w:pPr>
            <w:r>
              <w:rPr>
                <w:rFonts w:hint="eastAsia" w:eastAsia="黑体"/>
                <w:sz w:val="24"/>
              </w:rPr>
              <w:t>申报单位自评记分</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黑体"/>
                <w:sz w:val="24"/>
              </w:rPr>
            </w:pPr>
            <w:r>
              <w:rPr>
                <w:rFonts w:hint="eastAsia" w:eastAsia="黑体"/>
                <w:sz w:val="24"/>
              </w:rPr>
              <w:t>县市区</w:t>
            </w:r>
          </w:p>
          <w:p>
            <w:pPr>
              <w:jc w:val="center"/>
              <w:rPr>
                <w:rFonts w:eastAsia="黑体"/>
                <w:sz w:val="24"/>
              </w:rPr>
            </w:pPr>
            <w:r>
              <w:rPr>
                <w:rFonts w:hint="eastAsia" w:eastAsia="黑体"/>
                <w:sz w:val="24"/>
              </w:rPr>
              <w:t>初审记分</w:t>
            </w:r>
          </w:p>
        </w:tc>
      </w:tr>
      <w:tr>
        <w:tblPrEx>
          <w:tblLayout w:type="fixed"/>
          <w:tblCellMar>
            <w:top w:w="0" w:type="dxa"/>
            <w:left w:w="108" w:type="dxa"/>
            <w:bottom w:w="0" w:type="dxa"/>
            <w:right w:w="108" w:type="dxa"/>
          </w:tblCellMar>
        </w:tblPrEx>
        <w:trPr>
          <w:trHeight w:val="1016" w:hRule="atLeast"/>
        </w:trPr>
        <w:tc>
          <w:tcPr>
            <w:tcW w:w="1178" w:type="dxa"/>
            <w:vMerge w:val="restart"/>
            <w:tcBorders>
              <w:top w:val="nil"/>
              <w:left w:val="single" w:color="auto" w:sz="4" w:space="0"/>
              <w:bottom w:val="single" w:color="000000" w:sz="4" w:space="0"/>
              <w:right w:val="single" w:color="auto" w:sz="4" w:space="0"/>
            </w:tcBorders>
            <w:vAlign w:val="center"/>
          </w:tcPr>
          <w:p>
            <w:pPr>
              <w:spacing w:line="400" w:lineRule="exact"/>
              <w:jc w:val="center"/>
              <w:rPr>
                <w:rFonts w:eastAsia="黑体"/>
                <w:sz w:val="24"/>
              </w:rPr>
            </w:pPr>
            <w:r>
              <w:rPr>
                <w:rFonts w:hint="eastAsia" w:eastAsia="黑体"/>
                <w:sz w:val="24"/>
              </w:rPr>
              <w:t>基本条件</w:t>
            </w:r>
          </w:p>
          <w:p>
            <w:pPr>
              <w:spacing w:line="400" w:lineRule="exact"/>
              <w:jc w:val="center"/>
              <w:rPr>
                <w:rFonts w:eastAsia="黑体"/>
                <w:sz w:val="24"/>
              </w:rPr>
            </w:pPr>
            <w:r>
              <w:rPr>
                <w:rFonts w:hint="eastAsia" w:eastAsia="黑体"/>
                <w:sz w:val="24"/>
              </w:rPr>
              <w:t>（</w:t>
            </w:r>
            <w:r>
              <w:rPr>
                <w:rFonts w:eastAsia="黑体"/>
                <w:sz w:val="24"/>
              </w:rPr>
              <w:t>30</w:t>
            </w:r>
            <w:r>
              <w:rPr>
                <w:rFonts w:hint="eastAsia" w:eastAsia="黑体"/>
                <w:sz w:val="24"/>
              </w:rPr>
              <w:t>分</w:t>
            </w:r>
            <w:r>
              <w:rPr>
                <w:rFonts w:eastAsia="黑体"/>
                <w:sz w:val="24"/>
              </w:rPr>
              <w:t>)</w:t>
            </w:r>
          </w:p>
        </w:tc>
        <w:tc>
          <w:tcPr>
            <w:tcW w:w="456" w:type="dxa"/>
            <w:tcBorders>
              <w:top w:val="nil"/>
              <w:left w:val="nil"/>
              <w:bottom w:val="single" w:color="auto" w:sz="4" w:space="0"/>
              <w:right w:val="single" w:color="auto" w:sz="4" w:space="0"/>
            </w:tcBorders>
            <w:vAlign w:val="center"/>
          </w:tcPr>
          <w:p>
            <w:pPr>
              <w:spacing w:line="400" w:lineRule="exact"/>
              <w:rPr>
                <w:sz w:val="24"/>
              </w:rPr>
            </w:pPr>
            <w:r>
              <w:rPr>
                <w:sz w:val="24"/>
              </w:rPr>
              <w:t>1</w:t>
            </w:r>
          </w:p>
        </w:tc>
        <w:tc>
          <w:tcPr>
            <w:tcW w:w="8163" w:type="dxa"/>
            <w:tcBorders>
              <w:top w:val="nil"/>
              <w:left w:val="nil"/>
              <w:bottom w:val="single" w:color="auto" w:sz="4" w:space="0"/>
              <w:right w:val="single" w:color="auto" w:sz="4" w:space="0"/>
            </w:tcBorders>
            <w:vAlign w:val="center"/>
          </w:tcPr>
          <w:p>
            <w:pPr>
              <w:spacing w:line="400" w:lineRule="exact"/>
              <w:rPr>
                <w:sz w:val="24"/>
              </w:rPr>
            </w:pPr>
            <w:r>
              <w:rPr>
                <w:rFonts w:hint="eastAsia"/>
                <w:sz w:val="24"/>
              </w:rPr>
              <w:t>自主创业就业优质初创企业法定代表人自创业以来无违法经营记录的记</w:t>
            </w:r>
            <w:r>
              <w:rPr>
                <w:sz w:val="24"/>
              </w:rPr>
              <w:t>5</w:t>
            </w:r>
            <w:r>
              <w:rPr>
                <w:rFonts w:hint="eastAsia"/>
                <w:sz w:val="24"/>
              </w:rPr>
              <w:t>分，否则不记分。</w:t>
            </w:r>
          </w:p>
        </w:tc>
        <w:tc>
          <w:tcPr>
            <w:tcW w:w="709" w:type="dxa"/>
            <w:tcBorders>
              <w:top w:val="nil"/>
              <w:left w:val="nil"/>
              <w:bottom w:val="single" w:color="auto" w:sz="4" w:space="0"/>
              <w:right w:val="single" w:color="auto" w:sz="4" w:space="0"/>
            </w:tcBorders>
            <w:vAlign w:val="center"/>
          </w:tcPr>
          <w:p>
            <w:pPr>
              <w:spacing w:line="320" w:lineRule="exact"/>
              <w:jc w:val="center"/>
              <w:rPr>
                <w:sz w:val="24"/>
              </w:rPr>
            </w:pPr>
            <w:r>
              <w:rPr>
                <w:sz w:val="24"/>
              </w:rPr>
              <w:t>5</w:t>
            </w:r>
          </w:p>
        </w:tc>
        <w:tc>
          <w:tcPr>
            <w:tcW w:w="1212"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sz w:val="24"/>
              </w:rPr>
            </w:pPr>
            <w:r>
              <w:rPr>
                <w:rFonts w:hint="eastAsia"/>
                <w:sz w:val="24"/>
              </w:rPr>
              <w:t>　</w:t>
            </w:r>
          </w:p>
        </w:tc>
      </w:tr>
      <w:tr>
        <w:tblPrEx>
          <w:tblLayout w:type="fixed"/>
          <w:tblCellMar>
            <w:top w:w="0" w:type="dxa"/>
            <w:left w:w="108" w:type="dxa"/>
            <w:bottom w:w="0" w:type="dxa"/>
            <w:right w:w="108" w:type="dxa"/>
          </w:tblCellMar>
        </w:tblPrEx>
        <w:trPr>
          <w:trHeight w:val="1287" w:hRule="atLeast"/>
        </w:trPr>
        <w:tc>
          <w:tcPr>
            <w:tcW w:w="1178" w:type="dxa"/>
            <w:vMerge w:val="continue"/>
            <w:tcBorders>
              <w:top w:val="nil"/>
              <w:left w:val="single" w:color="auto" w:sz="4" w:space="0"/>
              <w:bottom w:val="single" w:color="000000" w:sz="4" w:space="0"/>
              <w:right w:val="single" w:color="auto" w:sz="4" w:space="0"/>
            </w:tcBorders>
            <w:vAlign w:val="center"/>
          </w:tcPr>
          <w:p>
            <w:pPr>
              <w:spacing w:line="400" w:lineRule="exact"/>
              <w:rPr>
                <w:rFonts w:eastAsia="黑体"/>
                <w:sz w:val="24"/>
              </w:rPr>
            </w:pPr>
          </w:p>
        </w:tc>
        <w:tc>
          <w:tcPr>
            <w:tcW w:w="456" w:type="dxa"/>
            <w:tcBorders>
              <w:top w:val="nil"/>
              <w:left w:val="nil"/>
              <w:bottom w:val="single" w:color="auto" w:sz="4" w:space="0"/>
              <w:right w:val="single" w:color="auto" w:sz="4" w:space="0"/>
            </w:tcBorders>
            <w:vAlign w:val="center"/>
          </w:tcPr>
          <w:p>
            <w:pPr>
              <w:spacing w:line="400" w:lineRule="exact"/>
              <w:rPr>
                <w:sz w:val="24"/>
              </w:rPr>
            </w:pPr>
            <w:r>
              <w:rPr>
                <w:sz w:val="24"/>
              </w:rPr>
              <w:t>2</w:t>
            </w:r>
          </w:p>
        </w:tc>
        <w:tc>
          <w:tcPr>
            <w:tcW w:w="8163" w:type="dxa"/>
            <w:tcBorders>
              <w:top w:val="nil"/>
              <w:left w:val="nil"/>
              <w:bottom w:val="single" w:color="auto" w:sz="4" w:space="0"/>
              <w:right w:val="single" w:color="auto" w:sz="4" w:space="0"/>
            </w:tcBorders>
            <w:vAlign w:val="center"/>
          </w:tcPr>
          <w:p>
            <w:pPr>
              <w:spacing w:line="400" w:lineRule="exact"/>
              <w:rPr>
                <w:rFonts w:eastAsia="宋体"/>
                <w:sz w:val="24"/>
              </w:rPr>
            </w:pPr>
            <w:r>
              <w:rPr>
                <w:rFonts w:hint="eastAsia"/>
                <w:sz w:val="24"/>
              </w:rPr>
              <w:t>企业处于起步阶段，符合国家产业发展方向（除广告业、桑拿、按摩、网吧以及其他国家政策不予鼓励的产业外），规模相对较小、具有一定科技含量和发展潜力的记</w:t>
            </w:r>
            <w:r>
              <w:rPr>
                <w:sz w:val="24"/>
              </w:rPr>
              <w:t>10</w:t>
            </w:r>
            <w:r>
              <w:rPr>
                <w:rFonts w:hint="eastAsia"/>
                <w:sz w:val="24"/>
              </w:rPr>
              <w:t>分，一般的记</w:t>
            </w:r>
            <w:r>
              <w:rPr>
                <w:sz w:val="24"/>
              </w:rPr>
              <w:t xml:space="preserve"> 5</w:t>
            </w:r>
            <w:r>
              <w:rPr>
                <w:rFonts w:hint="eastAsia"/>
                <w:sz w:val="24"/>
              </w:rPr>
              <w:t>分，无科技含量和发展潜力的不记分。</w:t>
            </w:r>
          </w:p>
        </w:tc>
        <w:tc>
          <w:tcPr>
            <w:tcW w:w="709" w:type="dxa"/>
            <w:tcBorders>
              <w:top w:val="nil"/>
              <w:left w:val="nil"/>
              <w:bottom w:val="single" w:color="auto" w:sz="4" w:space="0"/>
              <w:right w:val="single" w:color="auto" w:sz="4" w:space="0"/>
            </w:tcBorders>
            <w:vAlign w:val="center"/>
          </w:tcPr>
          <w:p>
            <w:pPr>
              <w:spacing w:line="320" w:lineRule="exact"/>
              <w:jc w:val="center"/>
              <w:rPr>
                <w:sz w:val="24"/>
              </w:rPr>
            </w:pPr>
            <w:r>
              <w:rPr>
                <w:sz w:val="24"/>
              </w:rPr>
              <w:t>10</w:t>
            </w:r>
          </w:p>
        </w:tc>
        <w:tc>
          <w:tcPr>
            <w:tcW w:w="1212"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sz w:val="24"/>
              </w:rPr>
            </w:pPr>
            <w:r>
              <w:rPr>
                <w:rFonts w:hint="eastAsia"/>
                <w:sz w:val="24"/>
              </w:rPr>
              <w:t>　</w:t>
            </w:r>
          </w:p>
        </w:tc>
      </w:tr>
      <w:tr>
        <w:tblPrEx>
          <w:tblLayout w:type="fixed"/>
          <w:tblCellMar>
            <w:top w:w="0" w:type="dxa"/>
            <w:left w:w="108" w:type="dxa"/>
            <w:bottom w:w="0" w:type="dxa"/>
            <w:right w:w="108" w:type="dxa"/>
          </w:tblCellMar>
        </w:tblPrEx>
        <w:trPr>
          <w:trHeight w:val="1043" w:hRule="atLeast"/>
        </w:trPr>
        <w:tc>
          <w:tcPr>
            <w:tcW w:w="1178" w:type="dxa"/>
            <w:vMerge w:val="continue"/>
            <w:tcBorders>
              <w:top w:val="nil"/>
              <w:left w:val="single" w:color="auto" w:sz="4" w:space="0"/>
              <w:bottom w:val="single" w:color="000000" w:sz="4" w:space="0"/>
              <w:right w:val="single" w:color="auto" w:sz="4" w:space="0"/>
            </w:tcBorders>
            <w:vAlign w:val="center"/>
          </w:tcPr>
          <w:p>
            <w:pPr>
              <w:spacing w:line="400" w:lineRule="exact"/>
              <w:rPr>
                <w:rFonts w:eastAsia="黑体"/>
                <w:sz w:val="24"/>
              </w:rPr>
            </w:pPr>
          </w:p>
        </w:tc>
        <w:tc>
          <w:tcPr>
            <w:tcW w:w="456" w:type="dxa"/>
            <w:tcBorders>
              <w:top w:val="nil"/>
              <w:left w:val="nil"/>
              <w:bottom w:val="single" w:color="auto" w:sz="4" w:space="0"/>
              <w:right w:val="single" w:color="auto" w:sz="4" w:space="0"/>
            </w:tcBorders>
            <w:vAlign w:val="center"/>
          </w:tcPr>
          <w:p>
            <w:pPr>
              <w:spacing w:line="400" w:lineRule="exact"/>
              <w:rPr>
                <w:sz w:val="24"/>
              </w:rPr>
            </w:pPr>
            <w:r>
              <w:rPr>
                <w:sz w:val="24"/>
              </w:rPr>
              <w:t>3</w:t>
            </w:r>
          </w:p>
        </w:tc>
        <w:tc>
          <w:tcPr>
            <w:tcW w:w="8163" w:type="dxa"/>
            <w:tcBorders>
              <w:top w:val="nil"/>
              <w:left w:val="nil"/>
              <w:bottom w:val="single" w:color="auto" w:sz="4" w:space="0"/>
              <w:right w:val="single" w:color="auto" w:sz="4" w:space="0"/>
            </w:tcBorders>
            <w:vAlign w:val="center"/>
          </w:tcPr>
          <w:p>
            <w:pPr>
              <w:spacing w:line="400" w:lineRule="exact"/>
              <w:rPr>
                <w:sz w:val="24"/>
              </w:rPr>
            </w:pPr>
            <w:r>
              <w:rPr>
                <w:rFonts w:hint="eastAsia"/>
                <w:sz w:val="24"/>
              </w:rPr>
              <w:t>初创时间在</w:t>
            </w:r>
            <w:r>
              <w:rPr>
                <w:sz w:val="24"/>
              </w:rPr>
              <w:t>1</w:t>
            </w:r>
            <w:r>
              <w:rPr>
                <w:rFonts w:hint="eastAsia"/>
                <w:sz w:val="24"/>
              </w:rPr>
              <w:t>年以上、</w:t>
            </w:r>
            <w:r>
              <w:rPr>
                <w:sz w:val="24"/>
              </w:rPr>
              <w:t>2</w:t>
            </w:r>
            <w:r>
              <w:rPr>
                <w:rFonts w:hint="eastAsia"/>
                <w:sz w:val="24"/>
              </w:rPr>
              <w:t>年以内记</w:t>
            </w:r>
            <w:r>
              <w:rPr>
                <w:sz w:val="24"/>
              </w:rPr>
              <w:t>10</w:t>
            </w:r>
            <w:r>
              <w:rPr>
                <w:rFonts w:hint="eastAsia"/>
                <w:sz w:val="24"/>
              </w:rPr>
              <w:t>分，</w:t>
            </w:r>
            <w:r>
              <w:rPr>
                <w:sz w:val="24"/>
              </w:rPr>
              <w:t xml:space="preserve">2 </w:t>
            </w:r>
            <w:r>
              <w:rPr>
                <w:rFonts w:hint="eastAsia"/>
                <w:sz w:val="24"/>
              </w:rPr>
              <w:t>年以上、</w:t>
            </w:r>
            <w:r>
              <w:rPr>
                <w:sz w:val="24"/>
              </w:rPr>
              <w:t>3</w:t>
            </w:r>
            <w:r>
              <w:rPr>
                <w:rFonts w:hint="eastAsia"/>
                <w:sz w:val="24"/>
              </w:rPr>
              <w:t>年以内记</w:t>
            </w:r>
            <w:r>
              <w:rPr>
                <w:sz w:val="24"/>
              </w:rPr>
              <w:t>8</w:t>
            </w:r>
            <w:r>
              <w:rPr>
                <w:rFonts w:hint="eastAsia"/>
                <w:sz w:val="24"/>
              </w:rPr>
              <w:t>分，</w:t>
            </w:r>
            <w:r>
              <w:rPr>
                <w:sz w:val="24"/>
              </w:rPr>
              <w:t>3</w:t>
            </w:r>
            <w:r>
              <w:rPr>
                <w:rFonts w:hint="eastAsia"/>
                <w:sz w:val="24"/>
              </w:rPr>
              <w:t>年以上、</w:t>
            </w:r>
            <w:r>
              <w:rPr>
                <w:sz w:val="24"/>
              </w:rPr>
              <w:t>4</w:t>
            </w:r>
            <w:r>
              <w:rPr>
                <w:rFonts w:hint="eastAsia"/>
                <w:sz w:val="24"/>
              </w:rPr>
              <w:t>年以内记</w:t>
            </w:r>
            <w:r>
              <w:rPr>
                <w:sz w:val="24"/>
              </w:rPr>
              <w:t>6</w:t>
            </w:r>
            <w:r>
              <w:rPr>
                <w:rFonts w:hint="eastAsia"/>
                <w:sz w:val="24"/>
              </w:rPr>
              <w:t>分，</w:t>
            </w:r>
            <w:r>
              <w:rPr>
                <w:sz w:val="24"/>
              </w:rPr>
              <w:t>4</w:t>
            </w:r>
            <w:r>
              <w:rPr>
                <w:rFonts w:hint="eastAsia"/>
                <w:sz w:val="24"/>
              </w:rPr>
              <w:t>年以上、</w:t>
            </w:r>
            <w:r>
              <w:rPr>
                <w:sz w:val="24"/>
              </w:rPr>
              <w:t>5</w:t>
            </w:r>
            <w:r>
              <w:rPr>
                <w:rFonts w:hint="eastAsia"/>
                <w:sz w:val="24"/>
              </w:rPr>
              <w:t>年以内记</w:t>
            </w:r>
            <w:r>
              <w:rPr>
                <w:sz w:val="24"/>
              </w:rPr>
              <w:t>4</w:t>
            </w:r>
            <w:r>
              <w:rPr>
                <w:rFonts w:hint="eastAsia"/>
                <w:sz w:val="24"/>
              </w:rPr>
              <w:t>分。</w:t>
            </w:r>
          </w:p>
        </w:tc>
        <w:tc>
          <w:tcPr>
            <w:tcW w:w="709" w:type="dxa"/>
            <w:tcBorders>
              <w:top w:val="nil"/>
              <w:left w:val="nil"/>
              <w:bottom w:val="single" w:color="auto" w:sz="4" w:space="0"/>
              <w:right w:val="single" w:color="auto" w:sz="4" w:space="0"/>
            </w:tcBorders>
            <w:vAlign w:val="center"/>
          </w:tcPr>
          <w:p>
            <w:pPr>
              <w:spacing w:line="320" w:lineRule="exact"/>
              <w:jc w:val="center"/>
              <w:rPr>
                <w:sz w:val="24"/>
              </w:rPr>
            </w:pPr>
            <w:r>
              <w:rPr>
                <w:sz w:val="24"/>
              </w:rPr>
              <w:t>10</w:t>
            </w:r>
          </w:p>
        </w:tc>
        <w:tc>
          <w:tcPr>
            <w:tcW w:w="1212"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sz w:val="24"/>
              </w:rPr>
            </w:pPr>
            <w:r>
              <w:rPr>
                <w:rFonts w:hint="eastAsia"/>
                <w:sz w:val="24"/>
              </w:rPr>
              <w:t>　</w:t>
            </w:r>
          </w:p>
        </w:tc>
      </w:tr>
      <w:tr>
        <w:tblPrEx>
          <w:tblLayout w:type="fixed"/>
          <w:tblCellMar>
            <w:top w:w="0" w:type="dxa"/>
            <w:left w:w="108" w:type="dxa"/>
            <w:bottom w:w="0" w:type="dxa"/>
            <w:right w:w="108" w:type="dxa"/>
          </w:tblCellMar>
        </w:tblPrEx>
        <w:trPr>
          <w:trHeight w:val="1085" w:hRule="atLeast"/>
        </w:trPr>
        <w:tc>
          <w:tcPr>
            <w:tcW w:w="1178" w:type="dxa"/>
            <w:vMerge w:val="continue"/>
            <w:tcBorders>
              <w:top w:val="nil"/>
              <w:left w:val="single" w:color="auto" w:sz="4" w:space="0"/>
              <w:bottom w:val="single" w:color="auto" w:sz="4" w:space="0"/>
              <w:right w:val="single" w:color="auto" w:sz="4" w:space="0"/>
            </w:tcBorders>
            <w:vAlign w:val="center"/>
          </w:tcPr>
          <w:p>
            <w:pPr>
              <w:spacing w:line="400" w:lineRule="exact"/>
              <w:rPr>
                <w:rFonts w:eastAsia="黑体"/>
                <w:sz w:val="24"/>
              </w:rPr>
            </w:pPr>
          </w:p>
        </w:tc>
        <w:tc>
          <w:tcPr>
            <w:tcW w:w="456" w:type="dxa"/>
            <w:tcBorders>
              <w:top w:val="nil"/>
              <w:left w:val="nil"/>
              <w:bottom w:val="single" w:color="auto" w:sz="4" w:space="0"/>
              <w:right w:val="single" w:color="auto" w:sz="4" w:space="0"/>
            </w:tcBorders>
            <w:vAlign w:val="center"/>
          </w:tcPr>
          <w:p>
            <w:pPr>
              <w:spacing w:line="400" w:lineRule="exact"/>
              <w:rPr>
                <w:sz w:val="24"/>
              </w:rPr>
            </w:pPr>
            <w:r>
              <w:rPr>
                <w:sz w:val="24"/>
              </w:rPr>
              <w:t>4</w:t>
            </w:r>
          </w:p>
        </w:tc>
        <w:tc>
          <w:tcPr>
            <w:tcW w:w="8163" w:type="dxa"/>
            <w:tcBorders>
              <w:top w:val="nil"/>
              <w:left w:val="nil"/>
              <w:bottom w:val="single" w:color="auto" w:sz="4" w:space="0"/>
              <w:right w:val="single" w:color="auto" w:sz="4" w:space="0"/>
            </w:tcBorders>
            <w:vAlign w:val="center"/>
          </w:tcPr>
          <w:p>
            <w:pPr>
              <w:spacing w:line="400" w:lineRule="exact"/>
              <w:rPr>
                <w:b/>
                <w:sz w:val="24"/>
              </w:rPr>
            </w:pPr>
            <w:r>
              <w:rPr>
                <w:rFonts w:hint="eastAsia"/>
                <w:sz w:val="24"/>
              </w:rPr>
              <w:t>产权明晰，自主、合法经营，有自主知识产权并无其他法律纠纷的记</w:t>
            </w:r>
            <w:r>
              <w:rPr>
                <w:sz w:val="24"/>
              </w:rPr>
              <w:t>5</w:t>
            </w:r>
            <w:r>
              <w:rPr>
                <w:rFonts w:hint="eastAsia"/>
                <w:sz w:val="24"/>
              </w:rPr>
              <w:t>分，否则不记分。</w:t>
            </w:r>
          </w:p>
        </w:tc>
        <w:tc>
          <w:tcPr>
            <w:tcW w:w="709" w:type="dxa"/>
            <w:tcBorders>
              <w:top w:val="nil"/>
              <w:left w:val="nil"/>
              <w:bottom w:val="single" w:color="auto" w:sz="4" w:space="0"/>
              <w:right w:val="single" w:color="auto" w:sz="4" w:space="0"/>
            </w:tcBorders>
            <w:vAlign w:val="center"/>
          </w:tcPr>
          <w:p>
            <w:pPr>
              <w:spacing w:line="320" w:lineRule="exact"/>
              <w:jc w:val="center"/>
              <w:rPr>
                <w:sz w:val="24"/>
              </w:rPr>
            </w:pPr>
            <w:r>
              <w:rPr>
                <w:sz w:val="24"/>
              </w:rPr>
              <w:t>5</w:t>
            </w:r>
          </w:p>
        </w:tc>
        <w:tc>
          <w:tcPr>
            <w:tcW w:w="1212"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sz w:val="24"/>
              </w:rPr>
            </w:pPr>
            <w:r>
              <w:rPr>
                <w:rFonts w:hint="eastAsia"/>
                <w:sz w:val="24"/>
              </w:rPr>
              <w:t>　</w:t>
            </w:r>
          </w:p>
        </w:tc>
      </w:tr>
      <w:tr>
        <w:tblPrEx>
          <w:tblLayout w:type="fixed"/>
          <w:tblCellMar>
            <w:top w:w="0" w:type="dxa"/>
            <w:left w:w="108" w:type="dxa"/>
            <w:bottom w:w="0" w:type="dxa"/>
            <w:right w:w="108" w:type="dxa"/>
          </w:tblCellMar>
        </w:tblPrEx>
        <w:trPr>
          <w:trHeight w:val="2406"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带动就业效果</w:t>
            </w:r>
          </w:p>
          <w:p>
            <w:pPr>
              <w:spacing w:line="400" w:lineRule="exact"/>
              <w:jc w:val="center"/>
              <w:rPr>
                <w:rFonts w:eastAsia="黑体"/>
                <w:sz w:val="24"/>
              </w:rPr>
            </w:pPr>
            <w:r>
              <w:rPr>
                <w:rFonts w:hint="eastAsia" w:eastAsia="黑体"/>
                <w:sz w:val="24"/>
              </w:rPr>
              <w:t>（</w:t>
            </w:r>
            <w:r>
              <w:rPr>
                <w:rFonts w:eastAsia="黑体"/>
                <w:sz w:val="24"/>
              </w:rPr>
              <w:t>35</w:t>
            </w:r>
            <w:r>
              <w:rPr>
                <w:rFonts w:hint="eastAsia" w:eastAsia="黑体"/>
                <w:sz w:val="24"/>
              </w:rPr>
              <w:t>分）</w:t>
            </w: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5</w:t>
            </w:r>
          </w:p>
        </w:tc>
        <w:tc>
          <w:tcPr>
            <w:tcW w:w="8163" w:type="dxa"/>
            <w:tcBorders>
              <w:top w:val="single" w:color="auto" w:sz="4" w:space="0"/>
              <w:left w:val="nil"/>
              <w:bottom w:val="single" w:color="auto" w:sz="4" w:space="0"/>
              <w:right w:val="single" w:color="auto" w:sz="4" w:space="0"/>
            </w:tcBorders>
            <w:vAlign w:val="center"/>
          </w:tcPr>
          <w:p>
            <w:pPr>
              <w:spacing w:line="400" w:lineRule="exact"/>
              <w:rPr>
                <w:color w:val="FF0000"/>
                <w:sz w:val="24"/>
              </w:rPr>
            </w:pPr>
            <w:r>
              <w:rPr>
                <w:rFonts w:hint="eastAsia"/>
                <w:sz w:val="24"/>
              </w:rPr>
              <w:t>初创企业创业带动就业人数年平均不少于</w:t>
            </w:r>
            <w:r>
              <w:rPr>
                <w:sz w:val="24"/>
              </w:rPr>
              <w:t>30</w:t>
            </w:r>
            <w:r>
              <w:rPr>
                <w:rFonts w:hint="eastAsia"/>
                <w:sz w:val="24"/>
              </w:rPr>
              <w:t>人记</w:t>
            </w:r>
            <w:r>
              <w:rPr>
                <w:sz w:val="24"/>
              </w:rPr>
              <w:t>35</w:t>
            </w:r>
            <w:r>
              <w:rPr>
                <w:rFonts w:hint="eastAsia"/>
                <w:sz w:val="24"/>
              </w:rPr>
              <w:t>分，低于上述标准的不记分。初创企业创业带动就业人数每增加</w:t>
            </w:r>
            <w:r>
              <w:rPr>
                <w:sz w:val="24"/>
              </w:rPr>
              <w:t>5</w:t>
            </w:r>
            <w:r>
              <w:rPr>
                <w:rFonts w:hint="eastAsia"/>
                <w:sz w:val="24"/>
              </w:rPr>
              <w:t>人加</w:t>
            </w:r>
            <w:r>
              <w:rPr>
                <w:sz w:val="24"/>
              </w:rPr>
              <w:t>1</w:t>
            </w:r>
            <w:r>
              <w:rPr>
                <w:rFonts w:hint="eastAsia"/>
                <w:sz w:val="24"/>
              </w:rPr>
              <w:t>分，达到</w:t>
            </w:r>
            <w:r>
              <w:rPr>
                <w:sz w:val="24"/>
              </w:rPr>
              <w:t>50</w:t>
            </w:r>
            <w:r>
              <w:rPr>
                <w:rFonts w:hint="eastAsia"/>
                <w:sz w:val="24"/>
              </w:rPr>
              <w:t>人以上的加</w:t>
            </w:r>
            <w:r>
              <w:rPr>
                <w:sz w:val="24"/>
              </w:rPr>
              <w:t>5</w:t>
            </w:r>
            <w:r>
              <w:rPr>
                <w:rFonts w:hint="eastAsia"/>
                <w:sz w:val="24"/>
              </w:rPr>
              <w:t>分，达到</w:t>
            </w:r>
            <w:r>
              <w:rPr>
                <w:sz w:val="24"/>
              </w:rPr>
              <w:t>100</w:t>
            </w:r>
            <w:r>
              <w:rPr>
                <w:rFonts w:hint="eastAsia"/>
                <w:sz w:val="24"/>
              </w:rPr>
              <w:t>人以上的加</w:t>
            </w:r>
            <w:r>
              <w:rPr>
                <w:sz w:val="24"/>
              </w:rPr>
              <w:t>15</w:t>
            </w:r>
            <w:r>
              <w:rPr>
                <w:rFonts w:hint="eastAsia"/>
                <w:sz w:val="24"/>
              </w:rPr>
              <w:t>分。最多加</w:t>
            </w:r>
            <w:r>
              <w:rPr>
                <w:sz w:val="24"/>
              </w:rPr>
              <w:t>15</w:t>
            </w:r>
            <w:r>
              <w:rPr>
                <w:rFonts w:hint="eastAsia"/>
                <w:sz w:val="24"/>
              </w:rPr>
              <w:t>分。</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35</w:t>
            </w:r>
          </w:p>
        </w:tc>
        <w:tc>
          <w:tcPr>
            <w:tcW w:w="1212"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276"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r>
        <w:tblPrEx>
          <w:tblLayout w:type="fixed"/>
          <w:tblCellMar>
            <w:top w:w="0" w:type="dxa"/>
            <w:left w:w="108" w:type="dxa"/>
            <w:bottom w:w="0" w:type="dxa"/>
            <w:right w:w="108" w:type="dxa"/>
          </w:tblCellMar>
        </w:tblPrEx>
        <w:trPr>
          <w:trHeight w:val="1393" w:hRule="atLeast"/>
        </w:trPr>
        <w:tc>
          <w:tcPr>
            <w:tcW w:w="1178" w:type="dxa"/>
            <w:vMerge w:val="restart"/>
            <w:tcBorders>
              <w:top w:val="single" w:color="auto" w:sz="4" w:space="0"/>
              <w:left w:val="single" w:color="auto" w:sz="4" w:space="0"/>
              <w:right w:val="single" w:color="auto" w:sz="4" w:space="0"/>
            </w:tcBorders>
            <w:vAlign w:val="center"/>
          </w:tcPr>
          <w:p>
            <w:pPr>
              <w:spacing w:line="400" w:lineRule="exact"/>
              <w:jc w:val="center"/>
              <w:rPr>
                <w:rFonts w:eastAsia="黑体"/>
                <w:sz w:val="24"/>
              </w:rPr>
            </w:pPr>
            <w:r>
              <w:rPr>
                <w:rFonts w:hint="eastAsia" w:eastAsia="黑体"/>
                <w:sz w:val="24"/>
              </w:rPr>
              <w:t>遵守相关法律法规情况</w:t>
            </w:r>
          </w:p>
          <w:p>
            <w:pPr>
              <w:spacing w:line="400" w:lineRule="exact"/>
              <w:jc w:val="center"/>
              <w:rPr>
                <w:rFonts w:eastAsia="黑体"/>
                <w:sz w:val="24"/>
              </w:rPr>
            </w:pPr>
            <w:r>
              <w:rPr>
                <w:rFonts w:hint="eastAsia" w:eastAsia="黑体"/>
                <w:sz w:val="24"/>
              </w:rPr>
              <w:t>（</w:t>
            </w:r>
            <w:r>
              <w:rPr>
                <w:rFonts w:eastAsia="黑体"/>
                <w:sz w:val="24"/>
              </w:rPr>
              <w:t>35</w:t>
            </w:r>
            <w:r>
              <w:rPr>
                <w:rFonts w:hint="eastAsia" w:eastAsia="黑体"/>
                <w:sz w:val="24"/>
              </w:rPr>
              <w:t>分）</w:t>
            </w: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6</w:t>
            </w:r>
          </w:p>
        </w:tc>
        <w:tc>
          <w:tcPr>
            <w:tcW w:w="8163" w:type="dxa"/>
            <w:tcBorders>
              <w:top w:val="single" w:color="auto" w:sz="4" w:space="0"/>
              <w:left w:val="nil"/>
              <w:bottom w:val="single" w:color="auto" w:sz="4" w:space="0"/>
              <w:right w:val="single" w:color="auto" w:sz="4" w:space="0"/>
            </w:tcBorders>
            <w:vAlign w:val="center"/>
          </w:tcPr>
          <w:p>
            <w:pPr>
              <w:spacing w:line="400" w:lineRule="exact"/>
              <w:rPr>
                <w:sz w:val="24"/>
              </w:rPr>
            </w:pPr>
            <w:r>
              <w:rPr>
                <w:rFonts w:hint="eastAsia"/>
                <w:sz w:val="24"/>
              </w:rPr>
              <w:t>《劳动合同》签订率</w:t>
            </w:r>
            <w:r>
              <w:rPr>
                <w:sz w:val="24"/>
              </w:rPr>
              <w:t>100%</w:t>
            </w:r>
            <w:r>
              <w:rPr>
                <w:rFonts w:hint="eastAsia"/>
                <w:sz w:val="24"/>
              </w:rPr>
              <w:t>的记</w:t>
            </w:r>
            <w:r>
              <w:rPr>
                <w:sz w:val="24"/>
              </w:rPr>
              <w:t>10</w:t>
            </w:r>
            <w:r>
              <w:rPr>
                <w:rFonts w:hint="eastAsia"/>
                <w:sz w:val="24"/>
              </w:rPr>
              <w:t>分，每差</w:t>
            </w:r>
            <w:r>
              <w:rPr>
                <w:sz w:val="24"/>
              </w:rPr>
              <w:t>2</w:t>
            </w:r>
            <w:r>
              <w:rPr>
                <w:rFonts w:hint="eastAsia"/>
                <w:sz w:val="24"/>
              </w:rPr>
              <w:t>个百分点扣</w:t>
            </w:r>
            <w:r>
              <w:rPr>
                <w:sz w:val="24"/>
              </w:rPr>
              <w:t xml:space="preserve">1 </w:t>
            </w:r>
            <w:r>
              <w:rPr>
                <w:rFonts w:hint="eastAsia"/>
                <w:sz w:val="24"/>
              </w:rPr>
              <w:t>分，直至扣满</w:t>
            </w:r>
            <w:r>
              <w:rPr>
                <w:sz w:val="24"/>
              </w:rPr>
              <w:t>10</w:t>
            </w:r>
            <w:r>
              <w:rPr>
                <w:rFonts w:hint="eastAsia"/>
                <w:sz w:val="24"/>
              </w:rPr>
              <w:t>分为止。</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10</w:t>
            </w:r>
          </w:p>
        </w:tc>
        <w:tc>
          <w:tcPr>
            <w:tcW w:w="1212"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276"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r>
        <w:tblPrEx>
          <w:tblLayout w:type="fixed"/>
          <w:tblCellMar>
            <w:top w:w="0" w:type="dxa"/>
            <w:left w:w="108" w:type="dxa"/>
            <w:bottom w:w="0" w:type="dxa"/>
            <w:right w:w="108" w:type="dxa"/>
          </w:tblCellMar>
        </w:tblPrEx>
        <w:trPr>
          <w:trHeight w:val="1151" w:hRule="atLeast"/>
        </w:trPr>
        <w:tc>
          <w:tcPr>
            <w:tcW w:w="1178" w:type="dxa"/>
            <w:vMerge w:val="continue"/>
            <w:tcBorders>
              <w:top w:val="single" w:color="auto" w:sz="4" w:space="0"/>
              <w:left w:val="single" w:color="auto" w:sz="4" w:space="0"/>
              <w:right w:val="single" w:color="auto" w:sz="4" w:space="0"/>
            </w:tcBorders>
            <w:vAlign w:val="center"/>
          </w:tcPr>
          <w:p>
            <w:pPr>
              <w:spacing w:line="400" w:lineRule="exact"/>
              <w:rPr>
                <w:rFonts w:eastAsia="黑体"/>
                <w:sz w:val="24"/>
              </w:rPr>
            </w:pP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7</w:t>
            </w:r>
          </w:p>
        </w:tc>
        <w:tc>
          <w:tcPr>
            <w:tcW w:w="8163" w:type="dxa"/>
            <w:tcBorders>
              <w:top w:val="single" w:color="auto" w:sz="4" w:space="0"/>
              <w:left w:val="nil"/>
              <w:bottom w:val="single" w:color="auto" w:sz="4" w:space="0"/>
              <w:right w:val="single" w:color="auto" w:sz="4" w:space="0"/>
            </w:tcBorders>
            <w:vAlign w:val="center"/>
          </w:tcPr>
          <w:p>
            <w:pPr>
              <w:spacing w:line="400" w:lineRule="exact"/>
              <w:rPr>
                <w:sz w:val="24"/>
              </w:rPr>
            </w:pPr>
            <w:r>
              <w:rPr>
                <w:rFonts w:hint="eastAsia"/>
                <w:sz w:val="24"/>
              </w:rPr>
              <w:t>按时足额发放员工工资记</w:t>
            </w:r>
            <w:r>
              <w:rPr>
                <w:sz w:val="24"/>
              </w:rPr>
              <w:t>10</w:t>
            </w:r>
            <w:r>
              <w:rPr>
                <w:rFonts w:hint="eastAsia"/>
                <w:sz w:val="24"/>
              </w:rPr>
              <w:t>分，未达到按时足额发放的每次扣</w:t>
            </w:r>
            <w:r>
              <w:rPr>
                <w:sz w:val="24"/>
              </w:rPr>
              <w:t>1</w:t>
            </w:r>
            <w:r>
              <w:rPr>
                <w:rFonts w:hint="eastAsia"/>
                <w:sz w:val="24"/>
              </w:rPr>
              <w:t>分，直至扣满</w:t>
            </w:r>
            <w:r>
              <w:rPr>
                <w:sz w:val="24"/>
              </w:rPr>
              <w:t>10</w:t>
            </w:r>
            <w:r>
              <w:rPr>
                <w:rFonts w:hint="eastAsia"/>
                <w:sz w:val="24"/>
              </w:rPr>
              <w:t>分为止。</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10</w:t>
            </w:r>
          </w:p>
        </w:tc>
        <w:tc>
          <w:tcPr>
            <w:tcW w:w="1212"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276"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r>
        <w:tblPrEx>
          <w:tblLayout w:type="fixed"/>
          <w:tblCellMar>
            <w:top w:w="0" w:type="dxa"/>
            <w:left w:w="108" w:type="dxa"/>
            <w:bottom w:w="0" w:type="dxa"/>
            <w:right w:w="108" w:type="dxa"/>
          </w:tblCellMar>
        </w:tblPrEx>
        <w:trPr>
          <w:trHeight w:val="1378" w:hRule="atLeast"/>
        </w:trPr>
        <w:tc>
          <w:tcPr>
            <w:tcW w:w="1178" w:type="dxa"/>
            <w:vMerge w:val="continue"/>
            <w:tcBorders>
              <w:top w:val="single" w:color="auto" w:sz="4" w:space="0"/>
              <w:left w:val="single" w:color="auto" w:sz="4" w:space="0"/>
              <w:right w:val="single" w:color="auto" w:sz="4" w:space="0"/>
            </w:tcBorders>
            <w:vAlign w:val="center"/>
          </w:tcPr>
          <w:p>
            <w:pPr>
              <w:spacing w:line="400" w:lineRule="exact"/>
              <w:rPr>
                <w:rFonts w:eastAsia="黑体"/>
                <w:sz w:val="24"/>
              </w:rPr>
            </w:pP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8</w:t>
            </w:r>
          </w:p>
        </w:tc>
        <w:tc>
          <w:tcPr>
            <w:tcW w:w="8163" w:type="dxa"/>
            <w:tcBorders>
              <w:top w:val="nil"/>
              <w:left w:val="nil"/>
              <w:bottom w:val="single" w:color="auto" w:sz="4" w:space="0"/>
              <w:right w:val="single" w:color="auto" w:sz="4" w:space="0"/>
            </w:tcBorders>
            <w:vAlign w:val="center"/>
          </w:tcPr>
          <w:p>
            <w:pPr>
              <w:spacing w:line="400" w:lineRule="exact"/>
              <w:rPr>
                <w:sz w:val="24"/>
              </w:rPr>
            </w:pPr>
            <w:r>
              <w:rPr>
                <w:rFonts w:hint="eastAsia"/>
                <w:sz w:val="24"/>
              </w:rPr>
              <w:t>依法</w:t>
            </w:r>
            <w:r>
              <w:rPr>
                <w:sz w:val="24"/>
              </w:rPr>
              <w:t>100%</w:t>
            </w:r>
            <w:r>
              <w:rPr>
                <w:rFonts w:hint="eastAsia"/>
                <w:sz w:val="24"/>
              </w:rPr>
              <w:t>参加社会保险并按时足额缴费的记</w:t>
            </w:r>
            <w:r>
              <w:rPr>
                <w:sz w:val="24"/>
              </w:rPr>
              <w:t>10</w:t>
            </w:r>
            <w:r>
              <w:rPr>
                <w:rFonts w:hint="eastAsia"/>
                <w:sz w:val="24"/>
              </w:rPr>
              <w:t>分，每差</w:t>
            </w:r>
            <w:r>
              <w:rPr>
                <w:sz w:val="24"/>
              </w:rPr>
              <w:t>2</w:t>
            </w:r>
            <w:r>
              <w:rPr>
                <w:rFonts w:hint="eastAsia"/>
                <w:sz w:val="24"/>
              </w:rPr>
              <w:t>个百分点扣</w:t>
            </w:r>
            <w:r>
              <w:rPr>
                <w:sz w:val="24"/>
              </w:rPr>
              <w:t xml:space="preserve">1 </w:t>
            </w:r>
            <w:r>
              <w:rPr>
                <w:rFonts w:hint="eastAsia"/>
                <w:sz w:val="24"/>
              </w:rPr>
              <w:t>分，直至扣满</w:t>
            </w:r>
            <w:r>
              <w:rPr>
                <w:sz w:val="24"/>
              </w:rPr>
              <w:t>10</w:t>
            </w:r>
            <w:r>
              <w:rPr>
                <w:rFonts w:hint="eastAsia"/>
                <w:sz w:val="24"/>
              </w:rPr>
              <w:t>分为止。</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10</w:t>
            </w:r>
          </w:p>
        </w:tc>
        <w:tc>
          <w:tcPr>
            <w:tcW w:w="1212"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276"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r>
        <w:tblPrEx>
          <w:tblLayout w:type="fixed"/>
          <w:tblCellMar>
            <w:top w:w="0" w:type="dxa"/>
            <w:left w:w="108" w:type="dxa"/>
            <w:bottom w:w="0" w:type="dxa"/>
            <w:right w:w="108" w:type="dxa"/>
          </w:tblCellMar>
        </w:tblPrEx>
        <w:trPr>
          <w:trHeight w:val="1239" w:hRule="atLeast"/>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eastAsia="黑体"/>
                <w:sz w:val="24"/>
              </w:rPr>
            </w:pPr>
          </w:p>
        </w:tc>
        <w:tc>
          <w:tcPr>
            <w:tcW w:w="456" w:type="dxa"/>
            <w:tcBorders>
              <w:top w:val="single" w:color="auto" w:sz="4" w:space="0"/>
              <w:left w:val="nil"/>
              <w:bottom w:val="single" w:color="auto" w:sz="4" w:space="0"/>
              <w:right w:val="single" w:color="auto" w:sz="4" w:space="0"/>
            </w:tcBorders>
            <w:vAlign w:val="center"/>
          </w:tcPr>
          <w:p>
            <w:pPr>
              <w:spacing w:line="400" w:lineRule="exact"/>
              <w:rPr>
                <w:sz w:val="24"/>
              </w:rPr>
            </w:pPr>
            <w:r>
              <w:rPr>
                <w:sz w:val="24"/>
              </w:rPr>
              <w:t>9</w:t>
            </w:r>
          </w:p>
        </w:tc>
        <w:tc>
          <w:tcPr>
            <w:tcW w:w="8163" w:type="dxa"/>
            <w:tcBorders>
              <w:top w:val="nil"/>
              <w:left w:val="nil"/>
              <w:bottom w:val="single" w:color="auto" w:sz="4" w:space="0"/>
              <w:right w:val="single" w:color="auto" w:sz="4" w:space="0"/>
            </w:tcBorders>
            <w:vAlign w:val="center"/>
          </w:tcPr>
          <w:p>
            <w:pPr>
              <w:spacing w:line="340" w:lineRule="exact"/>
              <w:rPr>
                <w:sz w:val="24"/>
              </w:rPr>
            </w:pPr>
            <w:r>
              <w:rPr>
                <w:rFonts w:hint="eastAsia"/>
                <w:sz w:val="24"/>
              </w:rPr>
              <w:t>创业以来企业无违反劳动保障法律法规的记</w:t>
            </w:r>
            <w:r>
              <w:rPr>
                <w:sz w:val="24"/>
              </w:rPr>
              <w:t>5</w:t>
            </w:r>
            <w:r>
              <w:rPr>
                <w:rFonts w:hint="eastAsia"/>
                <w:sz w:val="24"/>
              </w:rPr>
              <w:t>分，每发生一起扣</w:t>
            </w:r>
            <w:r>
              <w:rPr>
                <w:sz w:val="24"/>
              </w:rPr>
              <w:t>1</w:t>
            </w:r>
            <w:r>
              <w:rPr>
                <w:rFonts w:hint="eastAsia"/>
                <w:sz w:val="24"/>
              </w:rPr>
              <w:t>分，直至扣满</w:t>
            </w:r>
            <w:r>
              <w:rPr>
                <w:sz w:val="24"/>
              </w:rPr>
              <w:t>5</w:t>
            </w:r>
            <w:r>
              <w:rPr>
                <w:rFonts w:hint="eastAsia"/>
                <w:sz w:val="24"/>
              </w:rPr>
              <w:t>分为止。违反计生综治工作法律法规的不记分，并取消推荐评选资格。</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24"/>
              </w:rPr>
            </w:pPr>
            <w:r>
              <w:rPr>
                <w:sz w:val="24"/>
              </w:rPr>
              <w:t>5</w:t>
            </w:r>
          </w:p>
        </w:tc>
        <w:tc>
          <w:tcPr>
            <w:tcW w:w="1212" w:type="dxa"/>
            <w:tcBorders>
              <w:top w:val="single" w:color="auto" w:sz="4" w:space="0"/>
              <w:left w:val="nil"/>
              <w:bottom w:val="single" w:color="auto" w:sz="4" w:space="0"/>
              <w:right w:val="single" w:color="auto" w:sz="4" w:space="0"/>
            </w:tcBorders>
          </w:tcPr>
          <w:p>
            <w:pPr>
              <w:spacing w:line="320" w:lineRule="exact"/>
              <w:jc w:val="center"/>
              <w:rPr>
                <w:sz w:val="24"/>
              </w:rPr>
            </w:pPr>
          </w:p>
        </w:tc>
        <w:tc>
          <w:tcPr>
            <w:tcW w:w="1276" w:type="dxa"/>
            <w:tcBorders>
              <w:top w:val="single" w:color="auto" w:sz="4" w:space="0"/>
              <w:left w:val="single" w:color="auto" w:sz="4" w:space="0"/>
              <w:bottom w:val="single" w:color="auto" w:sz="4" w:space="0"/>
              <w:right w:val="single" w:color="auto" w:sz="4" w:space="0"/>
            </w:tcBorders>
          </w:tcPr>
          <w:p>
            <w:pPr>
              <w:spacing w:line="320" w:lineRule="exact"/>
              <w:jc w:val="center"/>
              <w:rPr>
                <w:sz w:val="24"/>
              </w:rPr>
            </w:pPr>
          </w:p>
        </w:tc>
      </w:tr>
    </w:tbl>
    <w:p>
      <w:pPr>
        <w:spacing w:line="592" w:lineRule="exact"/>
        <w:ind w:firstLine="640" w:firstLineChars="200"/>
        <w:rPr>
          <w:sz w:val="32"/>
          <w:szCs w:val="32"/>
        </w:rPr>
      </w:pPr>
    </w:p>
    <w:p>
      <w:bookmarkStart w:id="0" w:name="_GoBack"/>
      <w:bookmarkEnd w:id="0"/>
    </w:p>
    <w:sectPr>
      <w:pgSz w:w="16840" w:h="11907" w:orient="landscape"/>
      <w:pgMar w:top="1588" w:right="1985" w:bottom="1418"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84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夏若风cp</cp:lastModifiedBy>
  <dcterms:modified xsi:type="dcterms:W3CDTF">2017-12-29T06:56:56Z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