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2477" w:hRule="atLeast"/>
        </w:trPr>
        <w:tc>
          <w:tcPr>
            <w:tcW w:w="9360" w:type="dxa"/>
          </w:tcPr>
          <w:p>
            <w:pPr>
              <w:widowControl/>
              <w:spacing w:line="520" w:lineRule="exact"/>
              <w:rPr>
                <w:rFonts w:ascii="Times New Roman" w:hAnsi="Times New Roman" w:eastAsia="仿宋_GB2312" w:cs="仿宋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b/>
                <w:bCs/>
                <w:sz w:val="30"/>
                <w:szCs w:val="28"/>
              </w:rPr>
              <w:t>审批意见：</w:t>
            </w:r>
            <w:r>
              <w:rPr>
                <w:rFonts w:ascii="Times New Roman" w:hAnsi="Times New Roman" w:eastAsia="仿宋_GB2312" w:cs="仿宋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仿宋" w:eastAsia="仿宋_GB2312" w:cs="仿宋"/>
                <w:b/>
                <w:sz w:val="28"/>
                <w:szCs w:val="28"/>
              </w:rPr>
              <w:t>岳环君分环评</w:t>
            </w:r>
            <w:r>
              <w:rPr>
                <w:rFonts w:hint="eastAsia" w:ascii="Times New Roman" w:hAnsi="仿宋" w:eastAsia="仿宋_GB2312" w:cs="仿宋"/>
                <w:b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Times New Roman" w:hAnsi="仿宋" w:eastAsia="仿宋_GB2312" w:cs="仿宋"/>
                <w:b/>
                <w:sz w:val="28"/>
                <w:szCs w:val="28"/>
              </w:rPr>
              <w:t>［</w:t>
            </w:r>
            <w:r>
              <w:rPr>
                <w:rFonts w:ascii="Times New Roman" w:hAnsi="Times New Roman" w:eastAsia="仿宋_GB2312" w:cs="仿宋"/>
                <w:b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仿宋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仿宋" w:eastAsia="仿宋_GB2312" w:cs="仿宋"/>
                <w:b/>
                <w:sz w:val="28"/>
                <w:szCs w:val="28"/>
              </w:rPr>
              <w:t>］</w:t>
            </w:r>
            <w:r>
              <w:rPr>
                <w:rFonts w:hint="eastAsia" w:ascii="Times New Roman" w:hAnsi="Times New Roman" w:eastAsia="仿宋_GB2312" w:cs="仿宋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仿宋" w:eastAsia="仿宋_GB2312" w:cs="仿宋"/>
                <w:b/>
                <w:sz w:val="28"/>
                <w:szCs w:val="28"/>
              </w:rPr>
              <w:t>号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君和加油站位于君山区钱粮湖镇，原占地面积600m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，总建筑面积468m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，站内有汽油罐2个、柴油罐1个，储罐容积均为30m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，设单油品双枪加油机1台、多油品双枪加油机1台，属于三级加油站。现该加油站根据实际需求拟进行改造，对原有储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罐进行拆除，新增钢制双层埋地储油罐4个，其中汽油罐2个、柴油罐2个，均为30m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，在原有的基础上新增单油品单枪加油机2台，新设卸油油气回收、分散式加油油气回收系统。该加油站改建后占地面积1184.24m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，总建筑面积800m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总投资1000万元（其中环保投资31万元）。根据《汽车加油加气站设计与施工规范》（GB50156-2012）规定，该加油站通过改扩建后等级仍为三级。根据广西新北环环保科技有限公司编制的环境影响报告表基本内容、结论和专家审查意见，从环境保护角度考虑，同意本项目的建设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一、工程建设及营运过程中，须按照环境保护“三同时”制度要求，认真落实专家及环评报告表中提出的各项污染防治措施。配套建设污染防治设施，加强环境管理，确保外排污染物长期稳定达标排放。在工程设计、施工和管理中，应着重注意以下问题：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1、坚持环境保护“三同时”制度，项目环保设施必须与主体工程同时建成，确保环保经费投入，认真落实专家及环评报告表中提出的各项污染防治、风险防范措施。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切实做好施工期环境保护工作。落实环境影响评价文件提出的各项施工期污防措施，尽量缩短施工期，合理安排高噪声设备的作业时间和车辆运输路线，采取隔声降噪等措施，禁止在午间（12时至14时）和夜间（22时至次日6时）进行建筑施工作业，减少对周边居民的影响；设置围栏围挡，确保场地整洁、安全，保持施工场地湿度，及时洒水抑尘，避免大风、大雨等恶劣天气作业；施工期生产废水经项目内隔油池和沉淀池处理后回用，生活污水经项目内化粪池处理后进行综合利用，严禁施工废水直排地表水体；项目内挖方用于站区内回填或绿化，由挖方产生的临时堆土采取编织土袋或无纺布遮盖等措施，防止水土流失。建设期固体废物按规范尽量回收利用，不能回收的及时清运，生活垃圾经收集后由镇村环卫部门统一及时处理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废水污染防治。合理建设雨水、污水管网，实行雨污分流。生活污水经化粪池处理后还田利用，地面清洗废水、初期雨水经隔油池、沉淀池处理后回收，严禁外排。油罐由有资质单位进行清洗，清洗废水由有资质单位统一处理。加油站油罐按照分区防渗、分区防治的原则，严格做好项目区域内防渗防漏处理。设置地下水监测井，加强日常管理，进行定期检测，严防地下水被污染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、废气污染防治。采用专业车辆进行油品运输，并完善员工的操作规范，罐车配套建设油气回收装置，减少挥发性有机废气的排放，确保满足《加油站大气污染物排放标准》（GB20952-2007）油气排放限值。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噪声污染防治。采用低噪声设备，对产生噪声的发电机房进行合理布局，采取减振、吸音、隔声等措施，确保厂界噪声达到《工业企业厂界环境噪声排放标准》（GB12348-2008）中的要求（东、西、南侧为2类标准，北侧为4类标准）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、固体废物污染防治。严格按照《危险废物贮存污染控制标准》(GB18597-2001)的要求，设置危险固废暂存室，并完善地面的防渗防漏建设。油罐保养产生的油泥属危废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采用专用容器进行收集，连同项目产生的其他危废按危废处置要求暂存、转移和处理，防止管理不当造成二次污染，严禁直接外排。 生活垃圾由镇村环卫部门统一清运。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加强环境风险防范工作。严格落实安全预评价和消防要求，加强员工安全教育培训，提高安全意识和安全防范；严格按照《危险化学品安全管理条例》及《汽车加油加气站设计与施工规范》（GB50156-2012）要求，加强对充装设备以及阀门、泄压保护装置、回收装置等设备的维护管理，建立健全操作规程，做好防火、防爆、防毒等安全工作并规范设置标示牌，确保不造成次生环境污染；制定风险应急预案，储备应急救援物质并组织演练，确保周边环境安全；项目储罐周边防火距离内不得新建住宅区、学校、医院等环境敏感建筑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、生态影响专题。该项目生态影响专题报告通过了专家评审，已在我局进行了备案登记。加强厂区绿化，完善施工场地植被恢复，选用乡土绿化树种，设立自然保护区宣传标牌，保护湿地生态环境。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二、你单位应在收到本批复后</w:t>
            </w:r>
            <w:r>
              <w:rPr>
                <w:rFonts w:ascii="仿宋_GB2312" w:hAnsi="仿宋_GB2312" w:eastAsia="仿宋_GB2312" w:cs="仿宋_GB2312"/>
                <w:sz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个工作日内，将批复及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该项目环评报批稿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送至岳阳市环境保护局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君山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区分局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监察大队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、广西新北环环保科技有限公司。</w:t>
            </w: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三、岳阳市环境保护局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君山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区分局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环境监察大队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负责项目建设期和营运期的日常环境监管。</w:t>
            </w:r>
          </w:p>
          <w:p>
            <w:pPr>
              <w:snapToGrid w:val="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>经办人：</w:t>
            </w:r>
            <w:r>
              <w:rPr>
                <w:rFonts w:hint="eastAsia" w:ascii="仿宋_GB2312" w:eastAsia="仿宋_GB2312"/>
                <w:w w:val="90"/>
                <w:sz w:val="28"/>
                <w:lang w:eastAsia="zh-CN"/>
              </w:rPr>
              <w:t>章鹏</w:t>
            </w:r>
          </w:p>
          <w:p>
            <w:pPr>
              <w:snapToGrid w:val="0"/>
              <w:rPr>
                <w:rFonts w:hint="eastAsia" w:ascii="仿宋_GB2312" w:eastAsia="仿宋_GB2312"/>
                <w:w w:val="90"/>
                <w:sz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w w:val="90"/>
                <w:sz w:val="28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 w:val="28"/>
              </w:rPr>
              <w:t>审批人：</w:t>
            </w:r>
            <w:r>
              <w:rPr>
                <w:rFonts w:hint="eastAsia" w:ascii="仿宋_GB2312" w:eastAsia="仿宋_GB2312"/>
                <w:w w:val="90"/>
                <w:sz w:val="28"/>
                <w:lang w:eastAsia="zh-CN"/>
              </w:rPr>
              <w:t>龚卿</w:t>
            </w:r>
            <w:r>
              <w:rPr>
                <w:rFonts w:ascii="仿宋_GB2312" w:hAnsi="Times New Roman" w:eastAsia="仿宋_GB2312"/>
                <w:sz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仿宋_GB2312" w:hAnsi="Times New Roman" w:eastAsia="仿宋_GB2312"/>
                <w:sz w:val="28"/>
              </w:rPr>
              <w:t xml:space="preserve">                       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8"/>
                <w:lang w:val="en-US" w:eastAsia="zh-CN"/>
              </w:rPr>
            </w:pPr>
          </w:p>
          <w:p>
            <w:pPr>
              <w:snapToGrid w:val="0"/>
              <w:ind w:firstLine="5600" w:firstLineChars="2000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仿宋_GB2312" w:hAnsi="Times New Roman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公</w:t>
            </w:r>
            <w:r>
              <w:rPr>
                <w:rFonts w:ascii="仿宋_GB2312" w:hAnsi="Times New Roman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章</w:t>
            </w:r>
          </w:p>
          <w:p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 xml:space="preserve">                                            20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nkGothic Lt BT">
    <w:altName w:val="MS UI Gothic"/>
    <w:panose1 w:val="020B0607020203060204"/>
    <w:charset w:val="00"/>
    <w:family w:val="swiss"/>
    <w:pitch w:val="default"/>
    <w:sig w:usb0="00000000" w:usb1="00000000" w:usb2="00000000" w:usb3="00000000" w:csb0="0000001B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宋?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行书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A"/>
    <w:rsid w:val="0012026D"/>
    <w:rsid w:val="002A2489"/>
    <w:rsid w:val="005A017E"/>
    <w:rsid w:val="00610954"/>
    <w:rsid w:val="00A06C6A"/>
    <w:rsid w:val="00A80E69"/>
    <w:rsid w:val="00EE55F9"/>
    <w:rsid w:val="00F5106F"/>
    <w:rsid w:val="09B61525"/>
    <w:rsid w:val="09BA7346"/>
    <w:rsid w:val="0F785FFA"/>
    <w:rsid w:val="0FDB5026"/>
    <w:rsid w:val="1A9501CB"/>
    <w:rsid w:val="1AFB290C"/>
    <w:rsid w:val="1CDA65A5"/>
    <w:rsid w:val="1E265FEE"/>
    <w:rsid w:val="20715C02"/>
    <w:rsid w:val="20884185"/>
    <w:rsid w:val="223E6D13"/>
    <w:rsid w:val="224B3D9F"/>
    <w:rsid w:val="3A7B06D5"/>
    <w:rsid w:val="3E1210F4"/>
    <w:rsid w:val="3ED16917"/>
    <w:rsid w:val="41FD68FE"/>
    <w:rsid w:val="449E76AC"/>
    <w:rsid w:val="45BB05A9"/>
    <w:rsid w:val="462D6297"/>
    <w:rsid w:val="47B43677"/>
    <w:rsid w:val="48D153A3"/>
    <w:rsid w:val="49167A9E"/>
    <w:rsid w:val="4E9C292F"/>
    <w:rsid w:val="4F8C03E6"/>
    <w:rsid w:val="50A91980"/>
    <w:rsid w:val="583017FF"/>
    <w:rsid w:val="5E7006D7"/>
    <w:rsid w:val="5EE308E7"/>
    <w:rsid w:val="61980384"/>
    <w:rsid w:val="68EE7361"/>
    <w:rsid w:val="70A37142"/>
    <w:rsid w:val="71007ECC"/>
    <w:rsid w:val="76C560FE"/>
    <w:rsid w:val="7B455CA6"/>
    <w:rsid w:val="7CE31B5D"/>
    <w:rsid w:val="7DEC61BF"/>
    <w:rsid w:val="7E5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WPS Plain"/>
    <w:qFormat/>
    <w:uiPriority w:val="99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customStyle="1" w:styleId="6">
    <w:name w:val="0"/>
    <w:basedOn w:val="1"/>
    <w:qFormat/>
    <w:uiPriority w:val="99"/>
    <w:pPr>
      <w:widowControl/>
      <w:snapToGrid w:val="0"/>
      <w:spacing w:line="365" w:lineRule="atLeast"/>
      <w:ind w:left="1"/>
      <w:textAlignment w:val="bottom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235</Words>
  <Characters>1345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2018-01-25T02:18:56Z</cp:lastPrinted>
  <dcterms:modified xsi:type="dcterms:W3CDTF">2018-01-25T02:27:41Z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