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
      <w:tblGrid>
        <w:gridCol w:w="9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Ex>
        <w:trPr>
          <w:trHeight w:val="12477" w:hRule="atLeast"/>
        </w:trPr>
        <w:tc>
          <w:tcPr>
            <w:tcW w:w="9360" w:type="dxa"/>
          </w:tcPr>
          <w:p>
            <w:pPr>
              <w:widowControl/>
              <w:spacing w:line="520" w:lineRule="exact"/>
              <w:rPr>
                <w:rFonts w:ascii="Times New Roman" w:hAnsi="Times New Roman" w:eastAsia="仿宋_GB2312" w:cs="仿宋"/>
                <w:color w:val="FF0000"/>
                <w:sz w:val="28"/>
                <w:szCs w:val="28"/>
              </w:rPr>
            </w:pPr>
            <w:r>
              <w:rPr>
                <w:rFonts w:ascii="Times New Roman" w:hAnsi="Times New Roman" w:eastAsia="仿宋_GB2312" w:cs="仿宋"/>
                <w:b/>
                <w:bCs/>
                <w:sz w:val="28"/>
                <w:szCs w:val="28"/>
              </w:rPr>
              <w:t xml:space="preserve"> </w:t>
            </w:r>
            <w:r>
              <w:rPr>
                <w:rFonts w:hint="eastAsia" w:ascii="Times New Roman" w:hAnsi="Times New Roman" w:eastAsia="仿宋_GB2312" w:cs="仿宋"/>
                <w:b/>
                <w:bCs/>
                <w:sz w:val="30"/>
                <w:szCs w:val="28"/>
              </w:rPr>
              <w:t>审批意见：</w:t>
            </w:r>
            <w:r>
              <w:rPr>
                <w:rFonts w:ascii="Times New Roman" w:hAnsi="Times New Roman" w:eastAsia="仿宋_GB2312" w:cs="仿宋"/>
                <w:sz w:val="30"/>
                <w:szCs w:val="28"/>
              </w:rPr>
              <w:t xml:space="preserve"> </w:t>
            </w:r>
            <w:r>
              <w:rPr>
                <w:rFonts w:ascii="Times New Roman" w:hAnsi="Times New Roman" w:eastAsia="仿宋_GB2312" w:cs="仿宋"/>
                <w:sz w:val="28"/>
                <w:szCs w:val="28"/>
              </w:rPr>
              <w:t xml:space="preserve">                          </w:t>
            </w:r>
            <w:bookmarkStart w:id="0" w:name="_GoBack"/>
            <w:bookmarkEnd w:id="0"/>
            <w:r>
              <w:rPr>
                <w:rFonts w:hint="eastAsia" w:ascii="Times New Roman" w:hAnsi="仿宋" w:eastAsia="仿宋_GB2312" w:cs="仿宋"/>
                <w:b/>
                <w:sz w:val="28"/>
                <w:szCs w:val="28"/>
              </w:rPr>
              <w:t>岳环君分环评</w:t>
            </w:r>
            <w:r>
              <w:rPr>
                <w:rFonts w:hint="eastAsia" w:ascii="Times New Roman" w:hAnsi="仿宋" w:eastAsia="仿宋_GB2312" w:cs="仿宋"/>
                <w:b/>
                <w:sz w:val="28"/>
                <w:szCs w:val="28"/>
                <w:lang w:eastAsia="zh-CN"/>
              </w:rPr>
              <w:t>批</w:t>
            </w:r>
            <w:r>
              <w:rPr>
                <w:rFonts w:hint="eastAsia" w:ascii="Times New Roman" w:hAnsi="仿宋" w:eastAsia="仿宋_GB2312" w:cs="仿宋"/>
                <w:b/>
                <w:sz w:val="28"/>
                <w:szCs w:val="28"/>
              </w:rPr>
              <w:t>［</w:t>
            </w:r>
            <w:r>
              <w:rPr>
                <w:rFonts w:ascii="Times New Roman" w:hAnsi="Times New Roman" w:eastAsia="仿宋_GB2312" w:cs="仿宋"/>
                <w:b/>
                <w:sz w:val="28"/>
                <w:szCs w:val="28"/>
              </w:rPr>
              <w:t>201</w:t>
            </w:r>
            <w:r>
              <w:rPr>
                <w:rFonts w:hint="eastAsia" w:ascii="Times New Roman" w:hAnsi="Times New Roman" w:eastAsia="仿宋_GB2312" w:cs="仿宋"/>
                <w:b/>
                <w:sz w:val="28"/>
                <w:szCs w:val="28"/>
                <w:lang w:val="en-US" w:eastAsia="zh-CN"/>
              </w:rPr>
              <w:t>8</w:t>
            </w:r>
            <w:r>
              <w:rPr>
                <w:rFonts w:hint="eastAsia" w:ascii="Times New Roman" w:hAnsi="仿宋" w:eastAsia="仿宋_GB2312" w:cs="仿宋"/>
                <w:b/>
                <w:sz w:val="28"/>
                <w:szCs w:val="28"/>
              </w:rPr>
              <w:t>］</w:t>
            </w:r>
            <w:r>
              <w:rPr>
                <w:rFonts w:hint="eastAsia" w:ascii="Times New Roman" w:hAnsi="仿宋" w:eastAsia="仿宋_GB2312" w:cs="仿宋"/>
                <w:b/>
                <w:sz w:val="28"/>
                <w:szCs w:val="28"/>
                <w:lang w:val="en-US" w:eastAsia="zh-CN"/>
              </w:rPr>
              <w:t>23</w:t>
            </w:r>
            <w:r>
              <w:rPr>
                <w:rFonts w:hint="eastAsia" w:ascii="Times New Roman" w:hAnsi="仿宋" w:eastAsia="仿宋_GB2312" w:cs="仿宋"/>
                <w:b/>
                <w:sz w:val="28"/>
                <w:szCs w:val="28"/>
              </w:rPr>
              <w:t>号</w:t>
            </w:r>
          </w:p>
          <w:p>
            <w:pPr>
              <w:snapToGrid w:val="0"/>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lang w:eastAsia="zh-CN"/>
              </w:rPr>
              <w:t>君山区牛奶铺电排</w:t>
            </w:r>
            <w:r>
              <w:rPr>
                <w:rFonts w:hint="eastAsia" w:ascii="仿宋_GB2312" w:hAnsi="仿宋_GB2312" w:eastAsia="仿宋_GB2312" w:cs="仿宋_GB2312"/>
                <w:sz w:val="30"/>
                <w:szCs w:val="30"/>
                <w:lang w:val="en-US" w:eastAsia="zh-CN"/>
              </w:rPr>
              <w:t>始建于</w:t>
            </w:r>
            <w:r>
              <w:rPr>
                <w:rFonts w:hint="eastAsia" w:ascii="仿宋_GB2312" w:hAnsi="仿宋_GB2312" w:eastAsia="仿宋_GB2312" w:cs="仿宋_GB2312"/>
                <w:sz w:val="30"/>
                <w:szCs w:val="30"/>
                <w:lang w:eastAsia="zh-CN"/>
              </w:rPr>
              <w:t>1996年，位于洞庭湖大堤桩号9+126处，由拦污检修闸、进水前池、厂房、出水箱涵、防洪闸等组成</w:t>
            </w:r>
            <w:r>
              <w:rPr>
                <w:rFonts w:hint="eastAsia" w:ascii="仿宋_GB2312" w:hAnsi="仿宋_GB2312" w:eastAsia="仿宋_GB2312" w:cs="仿宋_GB2312"/>
                <w:sz w:val="30"/>
                <w:szCs w:val="30"/>
              </w:rPr>
              <w:t>，由于泵站机电设备老化严重，加之排涝任务重，</w:t>
            </w:r>
            <w:r>
              <w:rPr>
                <w:rFonts w:hint="eastAsia" w:ascii="仿宋_GB2312" w:hAnsi="仿宋_GB2312" w:eastAsia="仿宋_GB2312" w:cs="仿宋_GB2312"/>
                <w:sz w:val="30"/>
                <w:szCs w:val="30"/>
                <w:lang w:eastAsia="zh-CN"/>
              </w:rPr>
              <w:t>为</w:t>
            </w:r>
            <w:r>
              <w:rPr>
                <w:rFonts w:hint="eastAsia" w:ascii="仿宋_GB2312" w:hAnsi="仿宋_GB2312" w:eastAsia="仿宋_GB2312" w:cs="仿宋_GB2312"/>
                <w:sz w:val="30"/>
                <w:szCs w:val="30"/>
              </w:rPr>
              <w:t>解决日益严重的洪涝灾害，确保人民生命财产安全和经济建设顺利进行，岳阳市君山区水利局拟对</w:t>
            </w:r>
            <w:r>
              <w:rPr>
                <w:rFonts w:hint="eastAsia" w:ascii="仿宋_GB2312" w:hAnsi="仿宋_GB2312" w:eastAsia="仿宋_GB2312" w:cs="仿宋_GB2312"/>
                <w:sz w:val="30"/>
                <w:szCs w:val="30"/>
                <w:lang w:eastAsia="zh-CN"/>
              </w:rPr>
              <w:t>牛奶铺电排</w:t>
            </w:r>
            <w:r>
              <w:rPr>
                <w:rFonts w:hint="eastAsia" w:ascii="仿宋_GB2312" w:hAnsi="仿宋_GB2312" w:eastAsia="仿宋_GB2312" w:cs="仿宋_GB2312"/>
                <w:sz w:val="30"/>
                <w:szCs w:val="30"/>
              </w:rPr>
              <w:t>在原址上进行改扩建。该项目总投资5052.22万元,占地3153.33m</w:t>
            </w:r>
            <w:r>
              <w:rPr>
                <w:rFonts w:hint="eastAsia" w:ascii="仿宋_GB2312" w:hAnsi="仿宋_GB2312" w:eastAsia="仿宋_GB2312" w:cs="仿宋_GB2312"/>
                <w:sz w:val="30"/>
                <w:szCs w:val="30"/>
                <w:vertAlign w:val="superscript"/>
              </w:rPr>
              <w:t>2</w:t>
            </w:r>
            <w:r>
              <w:rPr>
                <w:rFonts w:hint="eastAsia" w:ascii="仿宋_GB2312" w:hAnsi="仿宋_GB2312" w:eastAsia="仿宋_GB2312" w:cs="仿宋_GB2312"/>
                <w:sz w:val="30"/>
                <w:szCs w:val="30"/>
              </w:rPr>
              <w:t>，建筑面积500m</w:t>
            </w:r>
            <w:r>
              <w:rPr>
                <w:rFonts w:hint="eastAsia" w:ascii="仿宋_GB2312" w:hAnsi="仿宋_GB2312" w:eastAsia="仿宋_GB2312" w:cs="仿宋_GB2312"/>
                <w:sz w:val="30"/>
                <w:szCs w:val="30"/>
                <w:vertAlign w:val="superscript"/>
              </w:rPr>
              <w:t>2</w:t>
            </w:r>
            <w:r>
              <w:rPr>
                <w:rFonts w:hint="eastAsia" w:ascii="仿宋_GB2312" w:hAnsi="仿宋_GB2312" w:eastAsia="仿宋_GB2312" w:cs="仿宋_GB2312"/>
                <w:sz w:val="30"/>
                <w:szCs w:val="30"/>
              </w:rPr>
              <w:t>。主要建设内容为新建3台1400QZB-50型、2台1000QZB-50型全贯流潜水泵，拦污检修闸2处，其中三排渠上拦污检修闸布置6孔，围堤渠上拦污检修闸布置2孔，单孔宽3.8m，高3.72m</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新建办公楼1座、围堰3处及其他配套设施</w:t>
            </w:r>
            <w:r>
              <w:rPr>
                <w:rFonts w:hint="eastAsia" w:ascii="仿宋_GB2312" w:hAnsi="仿宋_GB2312" w:eastAsia="仿宋_GB2312" w:cs="仿宋_GB2312"/>
                <w:sz w:val="30"/>
                <w:szCs w:val="30"/>
              </w:rPr>
              <w:t>等。根据广西新北环环保科技有限公司编制的环境影响报告表基本内容、结论和专家审查意见，从环境保护角度考虑，同意本项目的建设。</w:t>
            </w:r>
          </w:p>
          <w:p>
            <w:pPr>
              <w:snapToGrid w:val="0"/>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一、建设单位须逐项落实环评报告表提出的各项环保措施，严格执行环保“三同时”制度，配套建设污染防治设施，加强环境管理，确保外排污染物长期稳定达标排放。在工程设计、建设和管理中，应着重注意以下问题：</w:t>
            </w:r>
          </w:p>
          <w:p>
            <w:pPr>
              <w:snapToGrid w:val="0"/>
              <w:ind w:firstLine="600" w:firstLineChars="200"/>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1、切实做好施工期环境保护工作。落实施工期污防措施，尽量缩短施工期，合理布局施工机械，对施工场地采取围挡、洒水降尘等抑尘措施，渣土物料运输采用密闭或其他遮覆方式，有效减轻施工及运输的扬尘污染影响；选用低噪声施工设备，合理安排施工时间，减少噪声对周边环境的影响；施工期生活废水经</w:t>
            </w:r>
            <w:r>
              <w:rPr>
                <w:rFonts w:hint="eastAsia" w:ascii="仿宋_GB2312" w:hAnsi="仿宋_GB2312" w:eastAsia="仿宋_GB2312" w:cs="仿宋_GB2312"/>
                <w:sz w:val="30"/>
                <w:szCs w:val="30"/>
                <w:lang w:val="en-US" w:eastAsia="zh-CN"/>
              </w:rPr>
              <w:t>化粪池</w:t>
            </w:r>
            <w:r>
              <w:rPr>
                <w:rFonts w:hint="eastAsia" w:ascii="仿宋_GB2312" w:hAnsi="仿宋_GB2312" w:eastAsia="仿宋_GB2312" w:cs="仿宋_GB2312"/>
                <w:sz w:val="30"/>
                <w:szCs w:val="30"/>
              </w:rPr>
              <w:t>处理后</w:t>
            </w:r>
            <w:r>
              <w:rPr>
                <w:rFonts w:hint="eastAsia" w:ascii="仿宋_GB2312" w:hAnsi="仿宋_GB2312" w:eastAsia="仿宋_GB2312" w:cs="仿宋_GB2312"/>
                <w:sz w:val="30"/>
                <w:szCs w:val="30"/>
                <w:lang w:val="en-US" w:eastAsia="zh-CN"/>
              </w:rPr>
              <w:t>用作农肥</w:t>
            </w:r>
            <w:r>
              <w:rPr>
                <w:rFonts w:hint="eastAsia" w:ascii="仿宋_GB2312" w:hAnsi="仿宋_GB2312" w:eastAsia="仿宋_GB2312" w:cs="仿宋_GB2312"/>
                <w:sz w:val="30"/>
                <w:szCs w:val="30"/>
              </w:rPr>
              <w:t>，生产废水经隔油池除油再进入沉砂池沉淀后回收利用，不得外排；建设期固体废物按规范尽量回收利用，无法回收的弃土等及时清运至指定的建筑垃圾填埋场，生活垃圾经收集后由环卫部门统一及时处理</w:t>
            </w:r>
            <w:r>
              <w:rPr>
                <w:rFonts w:hint="eastAsia" w:ascii="仿宋_GB2312" w:hAnsi="仿宋_GB2312" w:eastAsia="仿宋_GB2312" w:cs="仿宋_GB2312"/>
                <w:sz w:val="30"/>
                <w:szCs w:val="30"/>
                <w:lang w:eastAsia="zh-CN"/>
              </w:rPr>
              <w:t>。</w:t>
            </w:r>
          </w:p>
          <w:p>
            <w:pPr>
              <w:snapToGrid w:val="0"/>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2、运营期废水污染防治。运营期生活污水经</w:t>
            </w:r>
            <w:r>
              <w:rPr>
                <w:rFonts w:hint="eastAsia" w:ascii="仿宋_GB2312" w:hAnsi="仿宋_GB2312" w:eastAsia="仿宋_GB2312" w:cs="仿宋_GB2312"/>
                <w:sz w:val="30"/>
                <w:szCs w:val="30"/>
                <w:lang w:val="en-US" w:eastAsia="zh-CN"/>
              </w:rPr>
              <w:t>化粪池</w:t>
            </w:r>
            <w:r>
              <w:rPr>
                <w:rFonts w:hint="eastAsia" w:ascii="仿宋_GB2312" w:hAnsi="仿宋_GB2312" w:eastAsia="仿宋_GB2312" w:cs="仿宋_GB2312"/>
                <w:sz w:val="30"/>
                <w:szCs w:val="30"/>
              </w:rPr>
              <w:t>处理后</w:t>
            </w:r>
            <w:r>
              <w:rPr>
                <w:rFonts w:hint="eastAsia" w:ascii="仿宋_GB2312" w:hAnsi="仿宋_GB2312" w:eastAsia="仿宋_GB2312" w:cs="仿宋_GB2312"/>
                <w:sz w:val="30"/>
                <w:szCs w:val="30"/>
                <w:lang w:val="en-US" w:eastAsia="zh-CN"/>
              </w:rPr>
              <w:t>用作农肥</w:t>
            </w:r>
            <w:r>
              <w:rPr>
                <w:rFonts w:hint="eastAsia" w:ascii="仿宋_GB2312" w:hAnsi="仿宋_GB2312" w:eastAsia="仿宋_GB2312" w:cs="仿宋_GB2312"/>
                <w:sz w:val="30"/>
                <w:szCs w:val="30"/>
              </w:rPr>
              <w:t>。</w:t>
            </w:r>
          </w:p>
          <w:p>
            <w:pPr>
              <w:snapToGrid w:val="0"/>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3、运营期固体废物污染防治。拦污检修闸拦截的固体废物和生活垃圾经集中收集后由环卫部门统一处置；废变压油、废机油</w:t>
            </w:r>
            <w:r>
              <w:rPr>
                <w:rFonts w:hint="eastAsia" w:ascii="仿宋_GB2312" w:hAnsi="仿宋_GB2312" w:eastAsia="仿宋_GB2312" w:cs="仿宋_GB2312"/>
                <w:sz w:val="30"/>
                <w:szCs w:val="30"/>
                <w:lang w:val="en-US" w:eastAsia="zh-CN"/>
              </w:rPr>
              <w:t>等危险废物</w:t>
            </w:r>
            <w:r>
              <w:rPr>
                <w:rFonts w:hint="eastAsia" w:ascii="仿宋_GB2312" w:hAnsi="仿宋_GB2312" w:eastAsia="仿宋_GB2312" w:cs="仿宋_GB2312"/>
                <w:sz w:val="30"/>
                <w:szCs w:val="30"/>
              </w:rPr>
              <w:t>按《危险废物贮存污染控制标准》（GB18597-2001）及修改单的相关规定建设危险废物暂存间用于贮存，做好防渗工作，并设置标志牌</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转移和处置按照环发[2001]199号《危险废物污染防治技术政策》要求委托有资质公司处置。</w:t>
            </w:r>
          </w:p>
          <w:p>
            <w:pPr>
              <w:snapToGrid w:val="0"/>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4、生态影响专题。</w:t>
            </w:r>
            <w:r>
              <w:rPr>
                <w:rFonts w:hint="eastAsia" w:ascii="仿宋_GB2312" w:hAnsi="仿宋_GB2312" w:eastAsia="仿宋_GB2312" w:cs="仿宋_GB2312"/>
                <w:b w:val="0"/>
                <w:i w:val="0"/>
                <w:caps w:val="0"/>
                <w:color w:val="000000"/>
                <w:spacing w:val="-6"/>
                <w:kern w:val="0"/>
                <w:sz w:val="30"/>
                <w:szCs w:val="30"/>
                <w:lang w:val="en-US" w:eastAsia="zh-CN" w:bidi="ar-SA"/>
              </w:rPr>
              <w:t>该项目生态影响专题报告通过了专家评审，并进行了备案登记。落实生态专题提出的各项要求，减轻施工期对周边动植物的影响。</w:t>
            </w:r>
          </w:p>
          <w:p>
            <w:pPr>
              <w:snapToGrid w:val="0"/>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二、你单位应在收到本批复后</w:t>
            </w:r>
            <w:r>
              <w:rPr>
                <w:rFonts w:ascii="仿宋_GB2312" w:hAnsi="仿宋_GB2312" w:eastAsia="仿宋_GB2312" w:cs="仿宋_GB2312"/>
                <w:sz w:val="30"/>
                <w:szCs w:val="30"/>
              </w:rPr>
              <w:t>15</w:t>
            </w:r>
            <w:r>
              <w:rPr>
                <w:rFonts w:hint="eastAsia" w:ascii="仿宋_GB2312" w:hAnsi="仿宋_GB2312" w:eastAsia="仿宋_GB2312" w:cs="仿宋_GB2312"/>
                <w:sz w:val="30"/>
                <w:szCs w:val="30"/>
              </w:rPr>
              <w:t>个工作日内，将批复及</w:t>
            </w:r>
            <w:r>
              <w:rPr>
                <w:rFonts w:hint="eastAsia" w:ascii="仿宋_GB2312" w:hAnsi="仿宋_GB2312" w:eastAsia="仿宋_GB2312" w:cs="仿宋_GB2312"/>
                <w:sz w:val="30"/>
                <w:szCs w:val="30"/>
                <w:lang w:eastAsia="zh-CN"/>
              </w:rPr>
              <w:t>该项目环评报批稿</w:t>
            </w:r>
            <w:r>
              <w:rPr>
                <w:rFonts w:hint="eastAsia" w:ascii="仿宋_GB2312" w:hAnsi="仿宋_GB2312" w:eastAsia="仿宋_GB2312" w:cs="仿宋_GB2312"/>
                <w:sz w:val="30"/>
                <w:szCs w:val="30"/>
              </w:rPr>
              <w:t>送至岳阳市</w:t>
            </w:r>
            <w:r>
              <w:rPr>
                <w:rFonts w:hint="eastAsia" w:ascii="仿宋_GB2312" w:hAnsi="仿宋_GB2312" w:eastAsia="仿宋_GB2312" w:cs="仿宋_GB2312"/>
                <w:sz w:val="30"/>
                <w:szCs w:val="30"/>
                <w:lang w:eastAsia="zh-CN"/>
              </w:rPr>
              <w:t>君山</w:t>
            </w:r>
            <w:r>
              <w:rPr>
                <w:rFonts w:hint="eastAsia" w:ascii="仿宋_GB2312" w:hAnsi="仿宋_GB2312" w:eastAsia="仿宋_GB2312" w:cs="仿宋_GB2312"/>
                <w:sz w:val="30"/>
                <w:szCs w:val="30"/>
              </w:rPr>
              <w:t>区</w:t>
            </w:r>
            <w:r>
              <w:rPr>
                <w:rFonts w:hint="eastAsia" w:ascii="仿宋_GB2312" w:hAnsi="仿宋_GB2312" w:eastAsia="仿宋_GB2312" w:cs="仿宋_GB2312"/>
                <w:sz w:val="30"/>
                <w:szCs w:val="30"/>
                <w:lang w:eastAsia="zh-CN"/>
              </w:rPr>
              <w:t>环境监察大队</w:t>
            </w:r>
            <w:r>
              <w:rPr>
                <w:rFonts w:hint="eastAsia" w:ascii="仿宋_GB2312" w:hAnsi="仿宋_GB2312" w:eastAsia="仿宋_GB2312" w:cs="仿宋_GB2312"/>
                <w:sz w:val="30"/>
                <w:szCs w:val="30"/>
              </w:rPr>
              <w:t>、广西新北环环保科技有限公司。</w:t>
            </w:r>
            <w:r>
              <w:rPr>
                <w:rFonts w:ascii="仿宋_GB2312" w:hAnsi="仿宋_GB2312" w:eastAsia="仿宋_GB2312" w:cs="仿宋_GB2312"/>
                <w:sz w:val="30"/>
                <w:szCs w:val="30"/>
              </w:rPr>
              <w:t xml:space="preserve"> </w:t>
            </w:r>
          </w:p>
          <w:p>
            <w:pPr>
              <w:snapToGrid w:val="0"/>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三、岳阳市</w:t>
            </w:r>
            <w:r>
              <w:rPr>
                <w:rFonts w:hint="eastAsia" w:ascii="仿宋_GB2312" w:hAnsi="仿宋_GB2312" w:eastAsia="仿宋_GB2312" w:cs="仿宋_GB2312"/>
                <w:sz w:val="30"/>
                <w:szCs w:val="30"/>
                <w:lang w:eastAsia="zh-CN"/>
              </w:rPr>
              <w:t>君山</w:t>
            </w:r>
            <w:r>
              <w:rPr>
                <w:rFonts w:hint="eastAsia" w:ascii="仿宋_GB2312" w:hAnsi="仿宋_GB2312" w:eastAsia="仿宋_GB2312" w:cs="仿宋_GB2312"/>
                <w:sz w:val="30"/>
                <w:szCs w:val="30"/>
              </w:rPr>
              <w:t>区</w:t>
            </w:r>
            <w:r>
              <w:rPr>
                <w:rFonts w:hint="eastAsia" w:ascii="仿宋_GB2312" w:hAnsi="仿宋_GB2312" w:eastAsia="仿宋_GB2312" w:cs="仿宋_GB2312"/>
                <w:sz w:val="30"/>
                <w:szCs w:val="30"/>
                <w:lang w:eastAsia="zh-CN"/>
              </w:rPr>
              <w:t>环境监察大队</w:t>
            </w:r>
            <w:r>
              <w:rPr>
                <w:rFonts w:hint="eastAsia" w:ascii="仿宋_GB2312" w:hAnsi="仿宋_GB2312" w:eastAsia="仿宋_GB2312" w:cs="仿宋_GB2312"/>
                <w:sz w:val="30"/>
                <w:szCs w:val="30"/>
              </w:rPr>
              <w:t>负责项目建设期和营运期的日常环境监管。</w:t>
            </w: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hint="eastAsia" w:ascii="仿宋_GB2312" w:eastAsia="仿宋_GB2312"/>
                <w:w w:val="90"/>
                <w:sz w:val="30"/>
                <w:szCs w:val="30"/>
              </w:rPr>
            </w:pPr>
            <w:r>
              <w:rPr>
                <w:rFonts w:hint="eastAsia" w:ascii="仿宋_GB2312" w:eastAsia="仿宋_GB2312"/>
                <w:w w:val="90"/>
                <w:sz w:val="30"/>
                <w:szCs w:val="30"/>
              </w:rPr>
              <w:t>经办人：</w:t>
            </w:r>
            <w:r>
              <w:rPr>
                <w:rFonts w:hint="eastAsia" w:ascii="仿宋_GB2312" w:eastAsia="仿宋_GB2312"/>
                <w:w w:val="90"/>
                <w:sz w:val="30"/>
                <w:szCs w:val="30"/>
                <w:lang w:eastAsia="zh-CN"/>
              </w:rPr>
              <w:t>章鹏</w:t>
            </w:r>
          </w:p>
          <w:p>
            <w:pPr>
              <w:snapToGrid w:val="0"/>
              <w:rPr>
                <w:rFonts w:hint="eastAsia" w:ascii="仿宋_GB2312" w:eastAsia="仿宋_GB2312"/>
                <w:w w:val="90"/>
                <w:sz w:val="30"/>
                <w:szCs w:val="30"/>
              </w:rPr>
            </w:pPr>
          </w:p>
          <w:p>
            <w:pPr>
              <w:snapToGrid w:val="0"/>
              <w:rPr>
                <w:rFonts w:hint="eastAsia" w:ascii="仿宋_GB2312" w:eastAsia="仿宋_GB2312"/>
                <w:w w:val="90"/>
                <w:sz w:val="30"/>
                <w:szCs w:val="30"/>
              </w:rPr>
            </w:pPr>
          </w:p>
          <w:p>
            <w:pPr>
              <w:snapToGrid w:val="0"/>
              <w:rPr>
                <w:rFonts w:hint="eastAsia" w:ascii="仿宋_GB2312" w:hAnsi="Times New Roman" w:eastAsia="仿宋_GB2312"/>
                <w:sz w:val="30"/>
                <w:szCs w:val="30"/>
                <w:lang w:val="en-US" w:eastAsia="zh-CN"/>
              </w:rPr>
            </w:pPr>
            <w:r>
              <w:rPr>
                <w:rFonts w:hint="eastAsia" w:ascii="仿宋_GB2312" w:eastAsia="仿宋_GB2312"/>
                <w:w w:val="90"/>
                <w:sz w:val="30"/>
                <w:szCs w:val="30"/>
              </w:rPr>
              <w:t>审批人：</w:t>
            </w:r>
            <w:r>
              <w:rPr>
                <w:rFonts w:hint="eastAsia" w:ascii="仿宋_GB2312" w:eastAsia="仿宋_GB2312"/>
                <w:w w:val="90"/>
                <w:sz w:val="30"/>
                <w:szCs w:val="30"/>
                <w:lang w:eastAsia="zh-CN"/>
              </w:rPr>
              <w:t>龚卿</w:t>
            </w:r>
            <w:r>
              <w:rPr>
                <w:rFonts w:ascii="仿宋_GB2312" w:hAnsi="Times New Roman" w:eastAsia="仿宋_GB2312"/>
                <w:sz w:val="30"/>
                <w:szCs w:val="30"/>
              </w:rPr>
              <w:t xml:space="preserve">                               </w:t>
            </w:r>
            <w:r>
              <w:rPr>
                <w:rFonts w:hint="eastAsia" w:ascii="仿宋_GB2312" w:hAnsi="Times New Roman" w:eastAsia="仿宋_GB2312"/>
                <w:sz w:val="30"/>
                <w:szCs w:val="30"/>
                <w:lang w:val="en-US" w:eastAsia="zh-CN"/>
              </w:rPr>
              <w:t xml:space="preserve"> </w:t>
            </w:r>
          </w:p>
          <w:p>
            <w:pPr>
              <w:snapToGrid w:val="0"/>
              <w:rPr>
                <w:rFonts w:hint="eastAsia" w:ascii="仿宋_GB2312" w:hAnsi="Times New Roman" w:eastAsia="仿宋_GB2312"/>
                <w:sz w:val="30"/>
                <w:szCs w:val="30"/>
                <w:lang w:val="en-US" w:eastAsia="zh-CN"/>
              </w:rPr>
            </w:pPr>
          </w:p>
          <w:p>
            <w:pPr>
              <w:snapToGrid w:val="0"/>
              <w:rPr>
                <w:rFonts w:hint="eastAsia" w:ascii="仿宋_GB2312" w:hAnsi="Times New Roman" w:eastAsia="仿宋_GB2312"/>
                <w:sz w:val="30"/>
                <w:szCs w:val="30"/>
                <w:lang w:val="en-US" w:eastAsia="zh-CN"/>
              </w:rPr>
            </w:pPr>
          </w:p>
          <w:p>
            <w:pPr>
              <w:snapToGrid w:val="0"/>
              <w:rPr>
                <w:rFonts w:hint="eastAsia" w:ascii="仿宋_GB2312" w:hAnsi="Times New Roman" w:eastAsia="仿宋_GB2312"/>
                <w:sz w:val="30"/>
                <w:szCs w:val="30"/>
                <w:lang w:val="en-US" w:eastAsia="zh-CN"/>
              </w:rPr>
            </w:pPr>
          </w:p>
          <w:p>
            <w:pPr>
              <w:snapToGrid w:val="0"/>
              <w:ind w:firstLine="6000" w:firstLineChars="2000"/>
              <w:rPr>
                <w:rFonts w:ascii="仿宋_GB2312" w:hAnsi="Times New Roman" w:eastAsia="仿宋_GB2312"/>
                <w:sz w:val="30"/>
                <w:szCs w:val="30"/>
              </w:rPr>
            </w:pPr>
            <w:r>
              <w:rPr>
                <w:rFonts w:hint="eastAsia" w:ascii="仿宋_GB2312" w:hAnsi="Times New Roman" w:eastAsia="仿宋_GB2312"/>
                <w:sz w:val="30"/>
                <w:szCs w:val="30"/>
                <w:lang w:val="en-US" w:eastAsia="zh-CN"/>
              </w:rPr>
              <w:t xml:space="preserve">      </w:t>
            </w:r>
            <w:r>
              <w:rPr>
                <w:rFonts w:ascii="仿宋_GB2312" w:hAnsi="Times New Roman" w:eastAsia="仿宋_GB2312"/>
                <w:sz w:val="30"/>
                <w:szCs w:val="30"/>
              </w:rPr>
              <w:t xml:space="preserve"> </w:t>
            </w:r>
            <w:r>
              <w:rPr>
                <w:rFonts w:hint="eastAsia" w:ascii="仿宋_GB2312" w:eastAsia="仿宋_GB2312"/>
                <w:sz w:val="30"/>
                <w:szCs w:val="30"/>
              </w:rPr>
              <w:t>公</w:t>
            </w:r>
            <w:r>
              <w:rPr>
                <w:rFonts w:ascii="仿宋_GB2312" w:hAnsi="Times New Roman" w:eastAsia="仿宋_GB2312"/>
                <w:sz w:val="30"/>
                <w:szCs w:val="30"/>
              </w:rPr>
              <w:t xml:space="preserve">     </w:t>
            </w:r>
            <w:r>
              <w:rPr>
                <w:rFonts w:hint="eastAsia" w:ascii="仿宋_GB2312" w:eastAsia="仿宋_GB2312"/>
                <w:sz w:val="30"/>
                <w:szCs w:val="30"/>
              </w:rPr>
              <w:t>章</w:t>
            </w:r>
          </w:p>
          <w:p>
            <w:pPr>
              <w:snapToGrid w:val="0"/>
              <w:rPr>
                <w:rFonts w:ascii="仿宋_GB2312" w:eastAsia="仿宋_GB2312"/>
                <w:sz w:val="30"/>
                <w:szCs w:val="30"/>
              </w:rPr>
            </w:pPr>
            <w:r>
              <w:rPr>
                <w:rFonts w:ascii="仿宋_GB2312" w:hAnsi="Times New Roman" w:eastAsia="仿宋_GB2312"/>
                <w:sz w:val="30"/>
                <w:szCs w:val="30"/>
              </w:rPr>
              <w:t xml:space="preserve">                                            201</w:t>
            </w:r>
            <w:r>
              <w:rPr>
                <w:rFonts w:hint="eastAsia" w:ascii="仿宋_GB2312" w:hAnsi="Times New Roman" w:eastAsia="仿宋_GB2312"/>
                <w:sz w:val="30"/>
                <w:szCs w:val="30"/>
                <w:lang w:val="en-US" w:eastAsia="zh-CN"/>
              </w:rPr>
              <w:t>8</w:t>
            </w:r>
            <w:r>
              <w:rPr>
                <w:rFonts w:hint="eastAsia" w:ascii="仿宋_GB2312" w:eastAsia="仿宋_GB2312"/>
                <w:sz w:val="30"/>
                <w:szCs w:val="30"/>
              </w:rPr>
              <w:t>年</w:t>
            </w:r>
            <w:r>
              <w:rPr>
                <w:rFonts w:hint="eastAsia" w:ascii="仿宋_GB2312" w:hAnsi="Times New Roman" w:eastAsia="仿宋_GB2312"/>
                <w:sz w:val="30"/>
                <w:szCs w:val="30"/>
                <w:lang w:val="en-US" w:eastAsia="zh-CN"/>
              </w:rPr>
              <w:t>12</w:t>
            </w:r>
            <w:r>
              <w:rPr>
                <w:rFonts w:hint="eastAsia" w:ascii="仿宋_GB2312" w:eastAsia="仿宋_GB2312"/>
                <w:sz w:val="30"/>
                <w:szCs w:val="30"/>
              </w:rPr>
              <w:t>月</w:t>
            </w:r>
            <w:r>
              <w:rPr>
                <w:rFonts w:hint="eastAsia" w:ascii="仿宋_GB2312" w:hAnsi="Times New Roman" w:eastAsia="仿宋_GB2312"/>
                <w:sz w:val="30"/>
                <w:szCs w:val="30"/>
                <w:lang w:val="en-US" w:eastAsia="zh-CN"/>
              </w:rPr>
              <w:t>12</w:t>
            </w:r>
            <w:r>
              <w:rPr>
                <w:rFonts w:hint="eastAsia" w:ascii="仿宋_GB2312" w:eastAsia="仿宋_GB2312"/>
                <w:sz w:val="30"/>
                <w:szCs w:val="30"/>
              </w:rPr>
              <w:t>日</w:t>
            </w:r>
          </w:p>
          <w:p>
            <w:pPr>
              <w:snapToGrid w:val="0"/>
              <w:rPr>
                <w:rFonts w:ascii="仿宋_GB2312" w:eastAsia="仿宋_GB2312"/>
                <w:sz w:val="28"/>
              </w:rPr>
            </w:pPr>
          </w:p>
        </w:tc>
      </w:tr>
    </w:tbl>
    <w:p>
      <w:pPr>
        <w:spacing w:line="480" w:lineRule="exact"/>
        <w:rPr>
          <w:rFonts w:eastAsia="仿宋_GB231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C6A"/>
    <w:rsid w:val="0012026D"/>
    <w:rsid w:val="002A2489"/>
    <w:rsid w:val="005A017E"/>
    <w:rsid w:val="00610954"/>
    <w:rsid w:val="00A06C6A"/>
    <w:rsid w:val="00A80E69"/>
    <w:rsid w:val="00EE55F9"/>
    <w:rsid w:val="00F5106F"/>
    <w:rsid w:val="09B61525"/>
    <w:rsid w:val="09BA7346"/>
    <w:rsid w:val="0C4C7466"/>
    <w:rsid w:val="0F785FFA"/>
    <w:rsid w:val="12BB5DF1"/>
    <w:rsid w:val="1A9501CB"/>
    <w:rsid w:val="1AFB290C"/>
    <w:rsid w:val="1E265FEE"/>
    <w:rsid w:val="204A2021"/>
    <w:rsid w:val="20715C02"/>
    <w:rsid w:val="20884185"/>
    <w:rsid w:val="223E6D13"/>
    <w:rsid w:val="224B3D9F"/>
    <w:rsid w:val="35196134"/>
    <w:rsid w:val="3A7B06D5"/>
    <w:rsid w:val="3E1210F4"/>
    <w:rsid w:val="41FD68FE"/>
    <w:rsid w:val="443C5C42"/>
    <w:rsid w:val="449E76AC"/>
    <w:rsid w:val="45BB05A9"/>
    <w:rsid w:val="45C85957"/>
    <w:rsid w:val="462D6297"/>
    <w:rsid w:val="49167A9E"/>
    <w:rsid w:val="4E9C292F"/>
    <w:rsid w:val="4F8C03E6"/>
    <w:rsid w:val="50A91980"/>
    <w:rsid w:val="56FD4676"/>
    <w:rsid w:val="583017FF"/>
    <w:rsid w:val="5E7006D7"/>
    <w:rsid w:val="5EE308E7"/>
    <w:rsid w:val="61980384"/>
    <w:rsid w:val="70A37142"/>
    <w:rsid w:val="71007ECC"/>
    <w:rsid w:val="76C560FE"/>
    <w:rsid w:val="7B455CA6"/>
    <w:rsid w:val="7CE31B5D"/>
    <w:rsid w:val="7DEC61B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qFormat/>
    <w:uiPriority w:val="99"/>
  </w:style>
  <w:style w:type="table" w:default="1" w:styleId="4">
    <w:name w:val="Normal Table"/>
    <w:unhideWhenUsed/>
    <w:qFormat/>
    <w:uiPriority w:val="99"/>
    <w:tblPr>
      <w:tblLayout w:type="fixed"/>
      <w:tblCellMar>
        <w:top w:w="0" w:type="dxa"/>
        <w:left w:w="108" w:type="dxa"/>
        <w:bottom w:w="0" w:type="dxa"/>
        <w:right w:w="108" w:type="dxa"/>
      </w:tblCellMar>
    </w:tblPr>
  </w:style>
  <w:style w:type="paragraph" w:styleId="2">
    <w:name w:val="Normal (Web)"/>
    <w:basedOn w:val="1"/>
    <w:qFormat/>
    <w:uiPriority w:val="99"/>
    <w:pPr>
      <w:spacing w:before="100" w:beforeAutospacing="1" w:after="100" w:afterAutospacing="1"/>
      <w:jc w:val="left"/>
    </w:pPr>
    <w:rPr>
      <w:kern w:val="0"/>
      <w:sz w:val="24"/>
    </w:rPr>
  </w:style>
  <w:style w:type="paragraph" w:customStyle="1" w:styleId="5">
    <w:name w:val="WPS Plain"/>
    <w:qFormat/>
    <w:uiPriority w:val="99"/>
    <w:rPr>
      <w:rFonts w:ascii="Calibri" w:hAnsi="Calibri" w:eastAsia="宋体" w:cs="Times New Roman"/>
      <w:kern w:val="0"/>
      <w:sz w:val="21"/>
      <w:szCs w:val="22"/>
      <w:lang w:val="en-US" w:eastAsia="zh-CN" w:bidi="ar-SA"/>
    </w:rPr>
  </w:style>
  <w:style w:type="paragraph" w:customStyle="1" w:styleId="6">
    <w:name w:val="0"/>
    <w:basedOn w:val="1"/>
    <w:qFormat/>
    <w:uiPriority w:val="99"/>
    <w:pPr>
      <w:widowControl/>
      <w:snapToGrid w:val="0"/>
      <w:spacing w:line="365" w:lineRule="atLeast"/>
      <w:ind w:left="1"/>
      <w:textAlignment w:val="bottom"/>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2</Pages>
  <Words>235</Words>
  <Characters>1345</Characters>
  <Lines>0</Lines>
  <Paragraphs>0</Paragraphs>
  <TotalTime>4</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hp</dc:creator>
  <cp:lastModifiedBy>Lenovo</cp:lastModifiedBy>
  <cp:lastPrinted>2018-12-13T01:11:00Z</cp:lastPrinted>
  <dcterms:modified xsi:type="dcterms:W3CDTF">2018-12-27T17:59:00Z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