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jc w:val="center"/>
        <w:rPr>
          <w:rFonts w:hint="eastAsia" w:eastAsia="方正小标宋简体"/>
          <w:bCs/>
          <w:sz w:val="42"/>
          <w:szCs w:val="42"/>
        </w:rPr>
      </w:pPr>
    </w:p>
    <w:p>
      <w:pPr>
        <w:pStyle w:val="2"/>
        <w:rPr>
          <w:rFonts w:hint="eastAsia" w:eastAsia="方正小标宋简体"/>
          <w:bCs/>
          <w:sz w:val="42"/>
          <w:szCs w:val="42"/>
        </w:rPr>
      </w:pPr>
    </w:p>
    <w:p>
      <w:pPr>
        <w:pStyle w:val="2"/>
        <w:rPr>
          <w:rFonts w:hint="eastAsia" w:eastAsia="方正小标宋简体"/>
          <w:bCs/>
          <w:sz w:val="42"/>
          <w:szCs w:val="42"/>
        </w:rPr>
      </w:pPr>
    </w:p>
    <w:p>
      <w:pPr>
        <w:pStyle w:val="2"/>
        <w:rPr>
          <w:rFonts w:hint="eastAsia" w:eastAsia="方正小标宋简体"/>
          <w:bCs/>
          <w:sz w:val="42"/>
          <w:szCs w:val="42"/>
        </w:rPr>
      </w:pPr>
    </w:p>
    <w:p>
      <w:pPr>
        <w:spacing w:line="800" w:lineRule="exact"/>
        <w:jc w:val="center"/>
        <w:rPr>
          <w:rFonts w:hint="eastAsia" w:ascii="宋体" w:hAnsi="宋体" w:eastAsia="宋体" w:cs="宋体"/>
          <w:b/>
          <w:bCs w:val="0"/>
          <w:sz w:val="46"/>
          <w:szCs w:val="46"/>
        </w:rPr>
      </w:pPr>
      <w:r>
        <w:rPr>
          <w:rFonts w:hint="eastAsia" w:ascii="宋体" w:hAnsi="宋体" w:eastAsia="宋体" w:cs="宋体"/>
          <w:b/>
          <w:bCs w:val="0"/>
          <w:sz w:val="46"/>
          <w:szCs w:val="46"/>
          <w:lang w:eastAsia="zh-CN"/>
        </w:rPr>
        <w:t>君山区</w:t>
      </w:r>
      <w:r>
        <w:rPr>
          <w:rFonts w:hint="eastAsia" w:ascii="宋体" w:hAnsi="宋体" w:eastAsia="宋体" w:cs="宋体"/>
          <w:b/>
          <w:bCs w:val="0"/>
          <w:sz w:val="46"/>
          <w:szCs w:val="46"/>
        </w:rPr>
        <w:t>20</w:t>
      </w:r>
      <w:r>
        <w:rPr>
          <w:rFonts w:hint="eastAsia" w:ascii="宋体" w:hAnsi="宋体" w:eastAsia="宋体" w:cs="宋体"/>
          <w:b/>
          <w:bCs w:val="0"/>
          <w:sz w:val="46"/>
          <w:szCs w:val="46"/>
          <w:lang w:val="en-US" w:eastAsia="zh-CN"/>
        </w:rPr>
        <w:t>20</w:t>
      </w:r>
      <w:r>
        <w:rPr>
          <w:rFonts w:hint="eastAsia" w:ascii="宋体" w:hAnsi="宋体" w:eastAsia="宋体" w:cs="宋体"/>
          <w:b/>
          <w:bCs w:val="0"/>
          <w:sz w:val="46"/>
          <w:szCs w:val="46"/>
        </w:rPr>
        <w:t>年度部门（单位）整体支出</w:t>
      </w:r>
    </w:p>
    <w:p>
      <w:pPr>
        <w:spacing w:line="800" w:lineRule="exact"/>
        <w:jc w:val="center"/>
        <w:rPr>
          <w:rFonts w:hint="eastAsia" w:ascii="宋体" w:hAnsi="宋体" w:eastAsia="宋体" w:cs="宋体"/>
          <w:b/>
          <w:bCs w:val="0"/>
          <w:sz w:val="46"/>
          <w:szCs w:val="46"/>
        </w:rPr>
      </w:pPr>
      <w:r>
        <w:rPr>
          <w:rFonts w:hint="eastAsia" w:ascii="宋体" w:hAnsi="宋体" w:eastAsia="宋体" w:cs="宋体"/>
          <w:b/>
          <w:bCs w:val="0"/>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val="en-US" w:eastAsia="zh-CN"/>
        </w:rPr>
        <w:t>岳阳市君山区城市管理和综合执法局</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141001</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2021</w:t>
      </w:r>
      <w:r>
        <w:rPr>
          <w:rFonts w:hint="eastAsia" w:eastAsia="仿宋_GB2312"/>
          <w:sz w:val="32"/>
        </w:rPr>
        <w:t>年</w:t>
      </w:r>
      <w:r>
        <w:rPr>
          <w:rFonts w:hint="eastAsia" w:eastAsia="仿宋_GB2312"/>
          <w:sz w:val="32"/>
          <w:lang w:val="en-US" w:eastAsia="zh-CN"/>
        </w:rPr>
        <w:t>6</w:t>
      </w:r>
      <w:r>
        <w:rPr>
          <w:rFonts w:hint="eastAsia" w:eastAsia="仿宋_GB2312"/>
          <w:sz w:val="32"/>
        </w:rPr>
        <w:t>月</w:t>
      </w:r>
      <w:r>
        <w:rPr>
          <w:rFonts w:hint="eastAsia" w:eastAsia="仿宋_GB2312"/>
          <w:sz w:val="32"/>
          <w:lang w:val="en-US" w:eastAsia="zh-CN"/>
        </w:rPr>
        <w:t>28</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417" w:right="1588" w:bottom="1417" w:left="1588" w:header="851" w:footer="992" w:gutter="0"/>
          <w:pgBorders>
            <w:top w:val="none" w:sz="0" w:space="0"/>
            <w:left w:val="none" w:sz="0" w:space="0"/>
            <w:bottom w:val="none" w:sz="0" w:space="0"/>
            <w:right w:val="none" w:sz="0" w:space="0"/>
          </w:pgBorders>
          <w:pgNumType w:fmt="decimal" w:start="1"/>
          <w:cols w:space="0" w:num="1"/>
          <w:rtlGutter w:val="0"/>
          <w:docGrid w:type="linesAndChars" w:linePitch="602" w:charSpace="-782"/>
        </w:sectPr>
      </w:pPr>
      <w:r>
        <w:rPr>
          <w:rFonts w:hint="eastAsia" w:eastAsia="仿宋_GB2312"/>
          <w:sz w:val="32"/>
          <w:lang w:eastAsia="zh-CN"/>
        </w:rPr>
        <w:t>君山区</w:t>
      </w:r>
      <w:r>
        <w:rPr>
          <w:rFonts w:hint="eastAsia" w:eastAsia="仿宋_GB2312"/>
          <w:sz w:val="32"/>
        </w:rPr>
        <w:t>财政</w:t>
      </w:r>
      <w:r>
        <w:rPr>
          <w:rFonts w:hint="eastAsia" w:eastAsia="仿宋_GB2312"/>
          <w:sz w:val="32"/>
          <w:szCs w:val="32"/>
        </w:rPr>
        <w:t>局（制）</w:t>
      </w:r>
    </w:p>
    <w:tbl>
      <w:tblPr>
        <w:tblStyle w:val="8"/>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209"/>
        <w:gridCol w:w="1261"/>
        <w:gridCol w:w="1011"/>
        <w:gridCol w:w="272"/>
        <w:gridCol w:w="808"/>
        <w:gridCol w:w="1118"/>
        <w:gridCol w:w="361"/>
        <w:gridCol w:w="404"/>
        <w:gridCol w:w="18"/>
        <w:gridCol w:w="1137"/>
        <w:gridCol w:w="585"/>
        <w:gridCol w:w="21"/>
        <w:gridCol w:w="219"/>
        <w:gridCol w:w="7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79" w:hRule="atLeast"/>
          <w:jc w:val="center"/>
        </w:trPr>
        <w:tc>
          <w:tcPr>
            <w:tcW w:w="9800" w:type="dxa"/>
            <w:gridSpan w:val="1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32"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符爱群</w:t>
            </w:r>
          </w:p>
        </w:tc>
        <w:tc>
          <w:tcPr>
            <w:tcW w:w="1479"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7"/>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13507304191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62人</w:t>
            </w:r>
          </w:p>
        </w:tc>
        <w:tc>
          <w:tcPr>
            <w:tcW w:w="1479"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7"/>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54人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112"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主要承担环境卫生、园林绿化、城管执法、市政维护、路灯亮化、渣土运输、道路破占、户外广告、城镇燃气、停车管理等多项职能。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5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4"/>
            <w:vAlign w:val="center"/>
          </w:tcPr>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82" w:firstLineChars="200"/>
              <w:jc w:val="both"/>
              <w:rPr>
                <w:rFonts w:hint="eastAsia" w:ascii="仿宋_GB2312" w:hAnsi="仿宋_GB2312" w:eastAsia="宋体" w:cs="仿宋_GB2312"/>
                <w:color w:val="000000"/>
                <w:kern w:val="2"/>
                <w:sz w:val="24"/>
                <w:szCs w:val="24"/>
                <w:lang w:val="en-US" w:eastAsia="zh-CN" w:bidi="ar-SA"/>
              </w:rPr>
            </w:pPr>
            <w:r>
              <w:rPr>
                <w:rFonts w:hint="eastAsia" w:ascii="仿宋_GB2312" w:hAnsi="仿宋_GB2312" w:eastAsia="仿宋_GB2312" w:cs="仿宋_GB2312"/>
                <w:b/>
                <w:bCs/>
                <w:color w:val="000000"/>
                <w:kern w:val="2"/>
                <w:sz w:val="24"/>
                <w:szCs w:val="24"/>
                <w:lang w:val="en-US" w:eastAsia="zh-CN" w:bidi="ar-SA"/>
              </w:rPr>
              <w:t>任务1.</w:t>
            </w:r>
            <w:r>
              <w:rPr>
                <w:rFonts w:hint="eastAsia" w:ascii="仿宋_GB2312" w:hAnsi="仿宋_GB2312" w:eastAsia="仿宋_GB2312" w:cs="仿宋_GB2312"/>
                <w:color w:val="000000"/>
                <w:kern w:val="2"/>
                <w:sz w:val="24"/>
                <w:szCs w:val="24"/>
                <w:lang w:val="en-US" w:eastAsia="zh-CN" w:bidi="ar-SA"/>
              </w:rPr>
              <w:t>日常管理工作：城管秩序抓好出店（占道）经营、夜市游摊、乱搭乱建、城区禁炮；环境卫生抓好“快速保洁”、环境卫生整治、垃圾分类等工作；园林绿化提高养护水平；市政设施维护加强道路养护和市政设施维护；户外广告统一规格，统一样式；路灯亮化确保路灯完好率和亮灯率达到98%，亮化效果不断提升；渣土运输严格审批、依法规范、部门联动、强化考核，防控中心城区扬尘污染；数字城管做好市政基础设施、城市绿化、路灯、环卫、及附属设施的信息收集、保管、利用等具体工作；燃气管理确保安全生产、</w:t>
            </w:r>
            <w:r>
              <w:rPr>
                <w:rFonts w:hint="eastAsia" w:ascii="仿宋_GB2312" w:hAnsi="仿宋_GB2312" w:eastAsia="仿宋_GB2312" w:cs="仿宋_GB2312"/>
                <w:color w:val="000000"/>
                <w:sz w:val="24"/>
                <w:lang w:val="en-US" w:eastAsia="zh-CN"/>
              </w:rPr>
              <w:t>保障燃气正常供应</w:t>
            </w:r>
            <w:r>
              <w:rPr>
                <w:rFonts w:hint="eastAsia" w:ascii="仿宋_GB2312" w:hAnsi="仿宋_GB2312" w:eastAsia="仿宋_GB2312" w:cs="仿宋_GB2312"/>
                <w:color w:val="000000"/>
                <w:kern w:val="2"/>
                <w:sz w:val="24"/>
                <w:szCs w:val="24"/>
                <w:lang w:val="en-US" w:eastAsia="zh-CN" w:bidi="ar-SA"/>
              </w:rPr>
              <w:t>。</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82" w:firstLineChars="200"/>
              <w:jc w:val="both"/>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b/>
                <w:bCs/>
                <w:color w:val="000000"/>
                <w:kern w:val="2"/>
                <w:sz w:val="24"/>
                <w:szCs w:val="24"/>
                <w:lang w:val="en-US" w:eastAsia="zh-CN" w:bidi="ar-SA"/>
              </w:rPr>
              <w:t>任务2.</w:t>
            </w:r>
            <w:r>
              <w:rPr>
                <w:rFonts w:hint="eastAsia" w:ascii="仿宋_GB2312" w:hAnsi="仿宋_GB2312" w:eastAsia="仿宋_GB2312" w:cs="仿宋_GB2312"/>
                <w:color w:val="000000"/>
                <w:kern w:val="2"/>
                <w:sz w:val="24"/>
                <w:szCs w:val="24"/>
                <w:lang w:val="en-US" w:eastAsia="zh-CN" w:bidi="ar-SA"/>
              </w:rPr>
              <w:t>项目建设方面：</w:t>
            </w:r>
            <w:r>
              <w:rPr>
                <w:rFonts w:hint="eastAsia" w:ascii="仿宋_GB2312" w:hAnsi="仿宋_GB2312" w:eastAsia="仿宋_GB2312" w:cs="仿宋_GB2312"/>
                <w:color w:val="000000"/>
                <w:sz w:val="24"/>
                <w:lang w:val="en-US" w:eastAsia="zh-CN"/>
              </w:rPr>
              <w:t>旅游路地下管网项目稳步推进。区级重点民生实事—大岳高速君山城区桥下空间保护性建设工程投资184万，建成了6412.3平方米的城区停车场，于6月份投入使用。民旺路生态停车场动工兴建，区人民医院停车场已完成立项等前期工作，着力解决城区停车难问题。</w:t>
            </w:r>
          </w:p>
          <w:p>
            <w:pPr>
              <w:keepNext w:val="0"/>
              <w:keepLines w:val="0"/>
              <w:pageBreakBefore w:val="0"/>
              <w:widowControl w:val="0"/>
              <w:kinsoku/>
              <w:wordWrap/>
              <w:overflowPunct/>
              <w:topLinePunct w:val="0"/>
              <w:autoSpaceDE/>
              <w:autoSpaceDN/>
              <w:bidi w:val="0"/>
              <w:adjustRightInd/>
              <w:snapToGrid/>
              <w:spacing w:line="380" w:lineRule="exact"/>
              <w:ind w:firstLine="482" w:firstLineChars="200"/>
              <w:textAlignment w:val="auto"/>
              <w:rPr>
                <w:rFonts w:hint="eastAsia" w:ascii="楷体_GB2312" w:hAnsi="楷体_GB2312" w:eastAsia="楷体_GB2312" w:cs="楷体_GB2312"/>
                <w:b w:val="0"/>
                <w:bCs w:val="0"/>
                <w:kern w:val="0"/>
                <w:sz w:val="24"/>
                <w:szCs w:val="24"/>
              </w:rPr>
            </w:pPr>
            <w:r>
              <w:rPr>
                <w:rFonts w:hint="eastAsia" w:ascii="仿宋_GB2312" w:hAnsi="仿宋_GB2312" w:eastAsia="仿宋_GB2312" w:cs="仿宋_GB2312"/>
                <w:b/>
                <w:bCs/>
                <w:color w:val="000000"/>
                <w:kern w:val="2"/>
                <w:sz w:val="24"/>
                <w:szCs w:val="24"/>
                <w:lang w:val="en-US" w:eastAsia="zh-CN" w:bidi="ar-SA"/>
              </w:rPr>
              <w:t>任务3.</w:t>
            </w:r>
            <w:r>
              <w:rPr>
                <w:rFonts w:hint="eastAsia" w:ascii="仿宋_GB2312" w:hAnsi="仿宋_GB2312" w:eastAsia="仿宋_GB2312" w:cs="仿宋_GB2312"/>
                <w:color w:val="000000"/>
                <w:kern w:val="2"/>
                <w:sz w:val="24"/>
                <w:szCs w:val="24"/>
                <w:lang w:val="en-US" w:eastAsia="zh-CN" w:bidi="ar-SA"/>
              </w:rPr>
              <w:t>  中心工作方面：</w:t>
            </w:r>
            <w:r>
              <w:rPr>
                <w:rFonts w:hint="eastAsia" w:ascii="仿宋_GB2312" w:hAnsi="仿宋_GB2312" w:eastAsia="仿宋_GB2312" w:cs="仿宋_GB2312"/>
                <w:b w:val="0"/>
                <w:bCs w:val="0"/>
                <w:color w:val="000000"/>
                <w:kern w:val="0"/>
                <w:sz w:val="24"/>
                <w:szCs w:val="24"/>
              </w:rPr>
              <w:t>一是筑牢安全稳定底线。</w:t>
            </w:r>
            <w:r>
              <w:rPr>
                <w:rFonts w:hint="eastAsia" w:ascii="仿宋_GB2312" w:hAnsi="仿宋_GB2312" w:eastAsia="仿宋_GB2312" w:cs="仿宋_GB2312"/>
                <w:b w:val="0"/>
                <w:bCs w:val="0"/>
                <w:kern w:val="0"/>
                <w:sz w:val="24"/>
                <w:szCs w:val="24"/>
              </w:rPr>
              <w:t>二是抓实“两大攻坚”。三是深化全国文明城市</w:t>
            </w:r>
            <w:r>
              <w:rPr>
                <w:rFonts w:hint="eastAsia" w:ascii="仿宋_GB2312" w:hAnsi="仿宋_GB2312" w:eastAsia="仿宋_GB2312" w:cs="仿宋_GB2312"/>
                <w:b w:val="0"/>
                <w:bCs w:val="0"/>
                <w:kern w:val="0"/>
                <w:sz w:val="24"/>
                <w:szCs w:val="24"/>
                <w:lang w:eastAsia="zh-CN"/>
              </w:rPr>
              <w:t>、</w:t>
            </w:r>
            <w:r>
              <w:rPr>
                <w:rFonts w:hint="eastAsia" w:ascii="仿宋_GB2312" w:hAnsi="仿宋_GB2312" w:eastAsia="仿宋_GB2312" w:cs="仿宋_GB2312"/>
                <w:b w:val="0"/>
                <w:bCs w:val="0"/>
                <w:kern w:val="0"/>
                <w:sz w:val="24"/>
                <w:szCs w:val="24"/>
              </w:rPr>
              <w:t>国家卫生城市</w:t>
            </w:r>
            <w:r>
              <w:rPr>
                <w:rFonts w:hint="eastAsia" w:ascii="仿宋_GB2312" w:hAnsi="仿宋_GB2312" w:eastAsia="仿宋_GB2312" w:cs="仿宋_GB2312"/>
                <w:b w:val="0"/>
                <w:bCs w:val="0"/>
                <w:kern w:val="0"/>
                <w:sz w:val="24"/>
                <w:szCs w:val="24"/>
                <w:lang w:eastAsia="zh-CN"/>
              </w:rPr>
              <w:t>、国家园林城市建设</w:t>
            </w:r>
            <w:r>
              <w:rPr>
                <w:rFonts w:hint="eastAsia" w:ascii="仿宋_GB2312" w:hAnsi="仿宋_GB2312" w:eastAsia="仿宋_GB2312" w:cs="仿宋_GB2312"/>
                <w:b w:val="0"/>
                <w:bCs w:val="0"/>
                <w:kern w:val="0"/>
                <w:sz w:val="24"/>
                <w:szCs w:val="24"/>
              </w:rPr>
              <w:t>。四是做精服务保障。</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900" w:hRule="atLeast"/>
          <w:jc w:val="center"/>
        </w:trPr>
        <w:tc>
          <w:tcPr>
            <w:tcW w:w="1654"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年度部门（单位）总体运行情况及取得的成绩</w:t>
            </w:r>
          </w:p>
        </w:tc>
        <w:tc>
          <w:tcPr>
            <w:tcW w:w="8146" w:type="dxa"/>
            <w:gridSpan w:val="14"/>
            <w:vAlign w:val="center"/>
          </w:tcPr>
          <w:p>
            <w:pPr>
              <w:autoSpaceDN w:val="0"/>
              <w:spacing w:line="320" w:lineRule="exact"/>
              <w:ind w:firstLine="480" w:firstLineChars="200"/>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2020年度本单位为提升城市服务、规范城市管理整体支出运行情况良好。本单位2020年获评</w:t>
            </w:r>
            <w:r>
              <w:rPr>
                <w:rFonts w:hint="eastAsia" w:ascii="仿宋_GB2312" w:hAnsi="仿宋_GB2312" w:eastAsia="仿宋_GB2312" w:cs="仿宋_GB2312"/>
                <w:color w:val="000000"/>
                <w:sz w:val="24"/>
                <w:lang w:val="zh-CN" w:eastAsia="zh-CN"/>
              </w:rPr>
              <w:t>全市</w:t>
            </w:r>
            <w:r>
              <w:rPr>
                <w:rFonts w:hint="eastAsia" w:ascii="仿宋_GB2312" w:hAnsi="仿宋_GB2312" w:eastAsia="仿宋_GB2312" w:cs="仿宋_GB2312"/>
                <w:color w:val="000000"/>
                <w:sz w:val="24"/>
                <w:lang w:val="en-US" w:eastAsia="zh-CN"/>
              </w:rPr>
              <w:t>绿化工作先进单位、</w:t>
            </w:r>
            <w:r>
              <w:rPr>
                <w:rFonts w:hint="eastAsia" w:ascii="仿宋_GB2312" w:hAnsi="仿宋_GB2312" w:eastAsia="仿宋_GB2312" w:cs="仿宋_GB2312"/>
                <w:color w:val="000000"/>
                <w:sz w:val="24"/>
                <w:lang w:val="zh-CN" w:eastAsia="zh-CN"/>
              </w:rPr>
              <w:t>全市禁止燃放烟花爆竹先进单位、全市城区生活垃圾分类先进单位、城区市容和环境卫生考评工作先进单位；</w:t>
            </w:r>
            <w:r>
              <w:rPr>
                <w:rFonts w:hint="eastAsia" w:ascii="仿宋_GB2312" w:hAnsi="仿宋_GB2312" w:eastAsia="仿宋_GB2312" w:cs="仿宋_GB2312"/>
                <w:color w:val="000000"/>
                <w:sz w:val="24"/>
                <w:lang w:val="en-US" w:eastAsia="zh-CN"/>
              </w:rPr>
              <w:t>获评全区绩效考核先进单位；获评全区宣传思想、脱贫攻坚、综治（平安建设）、信访、食品安全、招商、重大项目建设、环境保护、安全生产等9项工作先进单位。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863"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261"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6676" w:type="dxa"/>
            <w:gridSpan w:val="1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863"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261"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11"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118"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250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962"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863"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3104.32</w:t>
            </w:r>
          </w:p>
        </w:tc>
        <w:tc>
          <w:tcPr>
            <w:tcW w:w="1011"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101.01</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2123.25</w:t>
            </w:r>
          </w:p>
        </w:tc>
        <w:tc>
          <w:tcPr>
            <w:tcW w:w="1118" w:type="dxa"/>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750</w:t>
            </w:r>
          </w:p>
        </w:tc>
        <w:tc>
          <w:tcPr>
            <w:tcW w:w="250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62"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130.06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863"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1237.05</w:t>
            </w:r>
          </w:p>
        </w:tc>
        <w:tc>
          <w:tcPr>
            <w:tcW w:w="1011"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101.01</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840.03</w:t>
            </w:r>
          </w:p>
        </w:tc>
        <w:tc>
          <w:tcPr>
            <w:tcW w:w="1118" w:type="dxa"/>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268.4</w:t>
            </w:r>
          </w:p>
        </w:tc>
        <w:tc>
          <w:tcPr>
            <w:tcW w:w="250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62"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27.61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863" w:type="dxa"/>
            <w:gridSpan w:val="3"/>
            <w:vAlign w:val="center"/>
          </w:tcPr>
          <w:p>
            <w:pPr>
              <w:spacing w:line="320" w:lineRule="exact"/>
              <w:rPr>
                <w:rFonts w:hint="default" w:ascii="仿宋_GB2312" w:hAnsi="仿宋_GB2312" w:eastAsia="仿宋_GB2312" w:cs="仿宋_GB2312"/>
                <w:sz w:val="24"/>
                <w:lang w:val="en-US" w:eastAsia="zh-CN"/>
              </w:rPr>
            </w:pPr>
            <w:r>
              <w:rPr>
                <w:rFonts w:hint="eastAsia" w:ascii="仿宋_GB2312" w:hAnsi="仿宋_GB2312" w:eastAsia="仿宋_GB2312" w:cs="仿宋_GB2312"/>
                <w:sz w:val="24"/>
              </w:rPr>
              <w:t>2、</w:t>
            </w:r>
            <w:r>
              <w:rPr>
                <w:rFonts w:hint="eastAsia" w:ascii="仿宋_GB2312" w:hAnsi="仿宋_GB2312" w:eastAsia="仿宋_GB2312" w:cs="仿宋_GB2312"/>
                <w:sz w:val="24"/>
                <w:lang w:val="en-US" w:eastAsia="zh-CN"/>
              </w:rPr>
              <w:t>城管大队</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514.11</w:t>
            </w:r>
          </w:p>
        </w:tc>
        <w:tc>
          <w:tcPr>
            <w:tcW w:w="1011"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470.25</w:t>
            </w:r>
          </w:p>
        </w:tc>
        <w:tc>
          <w:tcPr>
            <w:tcW w:w="1118"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505"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62"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43.86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863" w:type="dxa"/>
            <w:gridSpan w:val="3"/>
            <w:vAlign w:val="center"/>
          </w:tcPr>
          <w:p>
            <w:pPr>
              <w:spacing w:line="320" w:lineRule="exact"/>
              <w:rPr>
                <w:rFonts w:hint="default" w:ascii="仿宋_GB2312" w:hAnsi="仿宋_GB2312" w:eastAsia="仿宋_GB2312" w:cs="仿宋_GB2312"/>
                <w:sz w:val="24"/>
                <w:lang w:val="en-US" w:eastAsia="zh-CN"/>
              </w:rPr>
            </w:pPr>
            <w:r>
              <w:rPr>
                <w:rFonts w:hint="eastAsia" w:ascii="仿宋_GB2312" w:hAnsi="仿宋_GB2312" w:eastAsia="仿宋_GB2312" w:cs="仿宋_GB2312"/>
                <w:sz w:val="24"/>
              </w:rPr>
              <w:t>3、</w:t>
            </w:r>
            <w:r>
              <w:rPr>
                <w:rFonts w:hint="eastAsia" w:ascii="仿宋_GB2312" w:hAnsi="仿宋_GB2312" w:eastAsia="仿宋_GB2312" w:cs="仿宋_GB2312"/>
                <w:sz w:val="24"/>
                <w:lang w:val="en-US" w:eastAsia="zh-CN"/>
              </w:rPr>
              <w:t>环卫服务中心</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1136.14</w:t>
            </w:r>
          </w:p>
        </w:tc>
        <w:tc>
          <w:tcPr>
            <w:tcW w:w="1011"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619.95</w:t>
            </w:r>
          </w:p>
        </w:tc>
        <w:tc>
          <w:tcPr>
            <w:tcW w:w="1118" w:type="dxa"/>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481.6</w:t>
            </w:r>
          </w:p>
        </w:tc>
        <w:tc>
          <w:tcPr>
            <w:tcW w:w="2505"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62"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34.59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42" w:hRule="atLeast"/>
          <w:jc w:val="center"/>
        </w:trPr>
        <w:tc>
          <w:tcPr>
            <w:tcW w:w="1863" w:type="dxa"/>
            <w:gridSpan w:val="3"/>
            <w:vAlign w:val="center"/>
          </w:tcPr>
          <w:p>
            <w:pPr>
              <w:spacing w:line="320" w:lineRule="exact"/>
              <w:rPr>
                <w:rFonts w:hint="default"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4、垃圾处理中心</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217.02</w:t>
            </w:r>
          </w:p>
        </w:tc>
        <w:tc>
          <w:tcPr>
            <w:tcW w:w="1011"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193.02</w:t>
            </w:r>
          </w:p>
        </w:tc>
        <w:tc>
          <w:tcPr>
            <w:tcW w:w="1118"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50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62"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863"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261"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129" w:type="dxa"/>
            <w:gridSpan w:val="8"/>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547"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863"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261"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11"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2963" w:type="dxa"/>
            <w:gridSpan w:val="5"/>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155" w:type="dxa"/>
            <w:gridSpan w:val="2"/>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825"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722"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863"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261"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11"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1883"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155" w:type="dxa"/>
            <w:gridSpan w:val="2"/>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825"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2"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92" w:hRule="atLeast"/>
          <w:jc w:val="center"/>
        </w:trPr>
        <w:tc>
          <w:tcPr>
            <w:tcW w:w="1863"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3034.37</w:t>
            </w:r>
          </w:p>
        </w:tc>
        <w:tc>
          <w:tcPr>
            <w:tcW w:w="1011"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795.88</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658.36</w:t>
            </w:r>
          </w:p>
        </w:tc>
        <w:tc>
          <w:tcPr>
            <w:tcW w:w="1883"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137.52</w:t>
            </w:r>
          </w:p>
        </w:tc>
        <w:tc>
          <w:tcPr>
            <w:tcW w:w="1155"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2238.49</w:t>
            </w:r>
          </w:p>
        </w:tc>
        <w:tc>
          <w:tcPr>
            <w:tcW w:w="825" w:type="dxa"/>
            <w:gridSpan w:val="3"/>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69.95</w:t>
            </w:r>
          </w:p>
        </w:tc>
        <w:tc>
          <w:tcPr>
            <w:tcW w:w="722"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4" w:hRule="atLeast"/>
          <w:jc w:val="center"/>
        </w:trPr>
        <w:tc>
          <w:tcPr>
            <w:tcW w:w="1863"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1167.1</w:t>
            </w:r>
          </w:p>
        </w:tc>
        <w:tc>
          <w:tcPr>
            <w:tcW w:w="1011"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260.62</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166.96</w:t>
            </w:r>
          </w:p>
        </w:tc>
        <w:tc>
          <w:tcPr>
            <w:tcW w:w="1883"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93.66</w:t>
            </w:r>
          </w:p>
        </w:tc>
        <w:tc>
          <w:tcPr>
            <w:tcW w:w="1155"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906.48</w:t>
            </w:r>
          </w:p>
        </w:tc>
        <w:tc>
          <w:tcPr>
            <w:tcW w:w="825" w:type="dxa"/>
            <w:gridSpan w:val="3"/>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69.95</w:t>
            </w:r>
          </w:p>
        </w:tc>
        <w:tc>
          <w:tcPr>
            <w:tcW w:w="722"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79" w:hRule="atLeast"/>
          <w:jc w:val="center"/>
        </w:trPr>
        <w:tc>
          <w:tcPr>
            <w:tcW w:w="1863" w:type="dxa"/>
            <w:gridSpan w:val="3"/>
            <w:vAlign w:val="center"/>
          </w:tcPr>
          <w:p>
            <w:pPr>
              <w:spacing w:line="320" w:lineRule="exact"/>
              <w:rPr>
                <w:rFonts w:hint="eastAsia" w:ascii="仿宋_GB2312" w:hAnsi="仿宋_GB2312" w:eastAsia="仿宋_GB2312" w:cs="仿宋_GB2312"/>
                <w:color w:val="000000"/>
                <w:sz w:val="24"/>
              </w:rPr>
            </w:pPr>
            <w:r>
              <w:rPr>
                <w:rFonts w:hint="eastAsia" w:ascii="仿宋_GB2312" w:hAnsi="仿宋_GB2312" w:eastAsia="仿宋_GB2312" w:cs="仿宋_GB2312"/>
                <w:sz w:val="24"/>
              </w:rPr>
              <w:t>2、</w:t>
            </w:r>
            <w:r>
              <w:rPr>
                <w:rFonts w:hint="eastAsia" w:ascii="仿宋_GB2312" w:hAnsi="仿宋_GB2312" w:eastAsia="仿宋_GB2312" w:cs="仿宋_GB2312"/>
                <w:sz w:val="24"/>
                <w:lang w:val="en-US" w:eastAsia="zh-CN"/>
              </w:rPr>
              <w:t>城管大队</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514.11</w:t>
            </w:r>
          </w:p>
        </w:tc>
        <w:tc>
          <w:tcPr>
            <w:tcW w:w="1011"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242.48</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211.07</w:t>
            </w:r>
          </w:p>
        </w:tc>
        <w:tc>
          <w:tcPr>
            <w:tcW w:w="1883"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31.41</w:t>
            </w:r>
          </w:p>
        </w:tc>
        <w:tc>
          <w:tcPr>
            <w:tcW w:w="1155"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271.63</w:t>
            </w:r>
          </w:p>
        </w:tc>
        <w:tc>
          <w:tcPr>
            <w:tcW w:w="825"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722"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89" w:hRule="atLeast"/>
          <w:jc w:val="center"/>
        </w:trPr>
        <w:tc>
          <w:tcPr>
            <w:tcW w:w="1863" w:type="dxa"/>
            <w:gridSpan w:val="3"/>
            <w:vAlign w:val="center"/>
          </w:tcPr>
          <w:p>
            <w:pPr>
              <w:spacing w:line="320" w:lineRule="exact"/>
              <w:rPr>
                <w:rFonts w:hint="eastAsia" w:ascii="仿宋_GB2312" w:hAnsi="仿宋_GB2312" w:eastAsia="仿宋_GB2312" w:cs="仿宋_GB2312"/>
                <w:color w:val="000000"/>
                <w:sz w:val="24"/>
              </w:rPr>
            </w:pPr>
            <w:r>
              <w:rPr>
                <w:rFonts w:hint="eastAsia" w:ascii="仿宋_GB2312" w:hAnsi="仿宋_GB2312" w:eastAsia="仿宋_GB2312" w:cs="仿宋_GB2312"/>
                <w:sz w:val="24"/>
              </w:rPr>
              <w:t>3、</w:t>
            </w:r>
            <w:r>
              <w:rPr>
                <w:rFonts w:hint="eastAsia" w:ascii="仿宋_GB2312" w:hAnsi="仿宋_GB2312" w:eastAsia="仿宋_GB2312" w:cs="仿宋_GB2312"/>
                <w:sz w:val="24"/>
                <w:lang w:val="en-US" w:eastAsia="zh-CN"/>
              </w:rPr>
              <w:t>环卫服务中心</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1136.14</w:t>
            </w:r>
          </w:p>
        </w:tc>
        <w:tc>
          <w:tcPr>
            <w:tcW w:w="1011"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117.41</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116.64</w:t>
            </w:r>
          </w:p>
        </w:tc>
        <w:tc>
          <w:tcPr>
            <w:tcW w:w="1883"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0.77</w:t>
            </w:r>
          </w:p>
        </w:tc>
        <w:tc>
          <w:tcPr>
            <w:tcW w:w="1155"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1018.73</w:t>
            </w:r>
          </w:p>
        </w:tc>
        <w:tc>
          <w:tcPr>
            <w:tcW w:w="825"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722"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4" w:hRule="atLeast"/>
          <w:jc w:val="center"/>
        </w:trPr>
        <w:tc>
          <w:tcPr>
            <w:tcW w:w="1863" w:type="dxa"/>
            <w:gridSpan w:val="3"/>
            <w:vAlign w:val="center"/>
          </w:tcPr>
          <w:p>
            <w:pPr>
              <w:spacing w:line="320" w:lineRule="exact"/>
              <w:rPr>
                <w:rFonts w:hint="eastAsia"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4、垃圾处理中心</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217.02</w:t>
            </w:r>
          </w:p>
        </w:tc>
        <w:tc>
          <w:tcPr>
            <w:tcW w:w="1011"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175.37</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163.69</w:t>
            </w:r>
          </w:p>
        </w:tc>
        <w:tc>
          <w:tcPr>
            <w:tcW w:w="1883"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11.68</w:t>
            </w:r>
          </w:p>
        </w:tc>
        <w:tc>
          <w:tcPr>
            <w:tcW w:w="1155"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41.65</w:t>
            </w:r>
          </w:p>
        </w:tc>
        <w:tc>
          <w:tcPr>
            <w:tcW w:w="825"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722"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4" w:hRule="atLeast"/>
          <w:jc w:val="center"/>
        </w:trPr>
        <w:tc>
          <w:tcPr>
            <w:tcW w:w="1863"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261"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676" w:type="dxa"/>
            <w:gridSpan w:val="1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40" w:hRule="atLeast"/>
          <w:jc w:val="center"/>
        </w:trPr>
        <w:tc>
          <w:tcPr>
            <w:tcW w:w="1863"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261"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11"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1883"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702"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98" w:hRule="atLeast"/>
          <w:jc w:val="center"/>
        </w:trPr>
        <w:tc>
          <w:tcPr>
            <w:tcW w:w="1863"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1.27</w:t>
            </w:r>
          </w:p>
        </w:tc>
        <w:tc>
          <w:tcPr>
            <w:tcW w:w="1011"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1.27</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883"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702"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4" w:hRule="atLeast"/>
          <w:jc w:val="center"/>
        </w:trPr>
        <w:tc>
          <w:tcPr>
            <w:tcW w:w="1863"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261"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11"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1.23</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883"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702"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4" w:hRule="atLeast"/>
          <w:jc w:val="center"/>
        </w:trPr>
        <w:tc>
          <w:tcPr>
            <w:tcW w:w="1863"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2、</w:t>
            </w:r>
            <w:r>
              <w:rPr>
                <w:rFonts w:hint="eastAsia" w:ascii="仿宋_GB2312" w:hAnsi="仿宋_GB2312" w:eastAsia="仿宋_GB2312" w:cs="仿宋_GB2312"/>
                <w:sz w:val="24"/>
                <w:lang w:val="en-US" w:eastAsia="zh-CN"/>
              </w:rPr>
              <w:t>城管大队</w:t>
            </w:r>
          </w:p>
        </w:tc>
        <w:tc>
          <w:tcPr>
            <w:tcW w:w="1261"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11"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0.04</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883"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702"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89" w:hRule="atLeast"/>
          <w:jc w:val="center"/>
        </w:trPr>
        <w:tc>
          <w:tcPr>
            <w:tcW w:w="1863"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3、</w:t>
            </w:r>
            <w:r>
              <w:rPr>
                <w:rFonts w:hint="eastAsia" w:ascii="仿宋_GB2312" w:hAnsi="仿宋_GB2312" w:eastAsia="仿宋_GB2312" w:cs="仿宋_GB2312"/>
                <w:sz w:val="24"/>
                <w:lang w:val="en-US" w:eastAsia="zh-CN"/>
              </w:rPr>
              <w:t>环卫服务中心</w:t>
            </w:r>
          </w:p>
        </w:tc>
        <w:tc>
          <w:tcPr>
            <w:tcW w:w="1261"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11"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883"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702"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4" w:hRule="atLeast"/>
          <w:jc w:val="center"/>
        </w:trPr>
        <w:tc>
          <w:tcPr>
            <w:tcW w:w="1863" w:type="dxa"/>
            <w:gridSpan w:val="3"/>
            <w:vAlign w:val="center"/>
          </w:tcPr>
          <w:p>
            <w:pPr>
              <w:spacing w:line="320" w:lineRule="exact"/>
              <w:rPr>
                <w:rFonts w:hint="eastAsia"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4、垃圾处理中心</w:t>
            </w:r>
          </w:p>
        </w:tc>
        <w:tc>
          <w:tcPr>
            <w:tcW w:w="1261"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11"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883"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702"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863"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261"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5735" w:type="dxa"/>
            <w:gridSpan w:val="10"/>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863"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261"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091" w:type="dxa"/>
            <w:gridSpan w:val="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863"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345.48</w:t>
            </w:r>
          </w:p>
        </w:tc>
        <w:tc>
          <w:tcPr>
            <w:tcW w:w="2091" w:type="dxa"/>
            <w:gridSpan w:val="3"/>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339.43</w:t>
            </w:r>
          </w:p>
        </w:tc>
        <w:tc>
          <w:tcPr>
            <w:tcW w:w="3644" w:type="dxa"/>
            <w:gridSpan w:val="7"/>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6.05</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80" w:hRule="atLeast"/>
          <w:jc w:val="center"/>
        </w:trPr>
        <w:tc>
          <w:tcPr>
            <w:tcW w:w="1863"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143.09</w:t>
            </w:r>
          </w:p>
        </w:tc>
        <w:tc>
          <w:tcPr>
            <w:tcW w:w="2091" w:type="dxa"/>
            <w:gridSpan w:val="3"/>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143.09</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863"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2、</w:t>
            </w:r>
            <w:r>
              <w:rPr>
                <w:rFonts w:hint="eastAsia" w:ascii="仿宋_GB2312" w:hAnsi="仿宋_GB2312" w:eastAsia="仿宋_GB2312" w:cs="仿宋_GB2312"/>
                <w:sz w:val="24"/>
                <w:lang w:val="en-US" w:eastAsia="zh-CN"/>
              </w:rPr>
              <w:t>城管大队</w:t>
            </w:r>
          </w:p>
        </w:tc>
        <w:tc>
          <w:tcPr>
            <w:tcW w:w="1261"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69.47</w:t>
            </w:r>
          </w:p>
        </w:tc>
        <w:tc>
          <w:tcPr>
            <w:tcW w:w="2091" w:type="dxa"/>
            <w:gridSpan w:val="3"/>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63.42</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6.05</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863"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3、</w:t>
            </w:r>
            <w:r>
              <w:rPr>
                <w:rFonts w:hint="eastAsia" w:ascii="仿宋_GB2312" w:hAnsi="仿宋_GB2312" w:eastAsia="仿宋_GB2312" w:cs="仿宋_GB2312"/>
                <w:sz w:val="24"/>
                <w:lang w:val="en-US" w:eastAsia="zh-CN"/>
              </w:rPr>
              <w:t>环卫服务中心</w:t>
            </w:r>
          </w:p>
        </w:tc>
        <w:tc>
          <w:tcPr>
            <w:tcW w:w="1261"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66.70</w:t>
            </w:r>
          </w:p>
        </w:tc>
        <w:tc>
          <w:tcPr>
            <w:tcW w:w="2091" w:type="dxa"/>
            <w:gridSpan w:val="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66.70</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863" w:type="dxa"/>
            <w:gridSpan w:val="3"/>
            <w:vAlign w:val="center"/>
          </w:tcPr>
          <w:p>
            <w:pPr>
              <w:spacing w:line="320" w:lineRule="exact"/>
              <w:rPr>
                <w:rFonts w:hint="eastAsia"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4、垃圾处理中心</w:t>
            </w:r>
          </w:p>
        </w:tc>
        <w:tc>
          <w:tcPr>
            <w:tcW w:w="1261"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66.22</w:t>
            </w:r>
          </w:p>
        </w:tc>
        <w:tc>
          <w:tcPr>
            <w:tcW w:w="2091" w:type="dxa"/>
            <w:gridSpan w:val="3"/>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66.22</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250"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6"/>
            <w:vAlign w:val="center"/>
          </w:tcPr>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目</w:t>
            </w:r>
            <w:r>
              <w:rPr>
                <w:rFonts w:hint="eastAsia" w:ascii="仿宋_GB2312" w:hAnsi="仿宋_GB2312" w:eastAsia="仿宋_GB2312" w:cs="仿宋_GB2312"/>
                <w:color w:val="000000"/>
                <w:kern w:val="2"/>
                <w:sz w:val="24"/>
                <w:szCs w:val="24"/>
                <w:lang w:val="en-US" w:eastAsia="zh-CN" w:bidi="ar-SA"/>
              </w:rPr>
              <w:t>标1：日常管理提升水平。</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目标2：市容环卫作业精细</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目标3：市政设施维护规范</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目标4：绿化亮化优质</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目标5：项目建设高效</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目标6：城管执法有力。</w:t>
            </w:r>
          </w:p>
          <w:p>
            <w:pPr>
              <w:autoSpaceDN w:val="0"/>
              <w:spacing w:line="320" w:lineRule="exact"/>
              <w:jc w:val="left"/>
              <w:textAlignment w:val="center"/>
              <w:rPr>
                <w:rFonts w:hint="eastAsia" w:ascii="仿宋_GB2312" w:hAnsi="仿宋_GB2312" w:eastAsia="仿宋_GB2312" w:cs="仿宋_GB2312"/>
                <w:color w:val="000000"/>
                <w:sz w:val="24"/>
              </w:rPr>
            </w:pPr>
          </w:p>
        </w:tc>
        <w:tc>
          <w:tcPr>
            <w:tcW w:w="4585" w:type="dxa"/>
            <w:gridSpan w:val="9"/>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目</w:t>
            </w:r>
            <w:r>
              <w:rPr>
                <w:rFonts w:hint="eastAsia" w:ascii="仿宋_GB2312" w:hAnsi="仿宋_GB2312" w:eastAsia="仿宋_GB2312" w:cs="仿宋_GB2312"/>
                <w:color w:val="000000"/>
                <w:kern w:val="2"/>
                <w:sz w:val="24"/>
                <w:szCs w:val="24"/>
                <w:lang w:val="en-US" w:eastAsia="zh-CN" w:bidi="ar-SA"/>
              </w:rPr>
              <w:t>标</w:t>
            </w:r>
            <w:r>
              <w:rPr>
                <w:rFonts w:hint="eastAsia" w:ascii="仿宋_GB2312" w:hAnsi="仿宋_GB2312" w:eastAsia="仿宋_GB2312" w:cs="仿宋_GB2312"/>
                <w:color w:val="000000"/>
                <w:sz w:val="24"/>
                <w:lang w:val="en-US" w:eastAsia="zh-CN"/>
              </w:rPr>
              <w:t>1.守住安全底线。疫情期间，紧急投放50个废弃口罩专用收集桶，调集渣土运输车辆、特种作业车辆助力区一人民医院改建成定点治疗医院，连续45天日夜坚守6个交通卡口和坪塅小区，保障燃气正常供应。防汛期间，4位党组成员先后上堤坚守防汛一线，未雨绸缪，提前制订《中心城区排涝应急预案》，组建应急突击队。疏通堵塞排水道5000米，清理泽涝面积75000平方米，抢排40多处低洼区域的积水，排除隐患20余处。</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目</w:t>
            </w:r>
            <w:r>
              <w:rPr>
                <w:rFonts w:hint="eastAsia" w:ascii="仿宋_GB2312" w:hAnsi="仿宋_GB2312" w:eastAsia="仿宋_GB2312" w:cs="仿宋_GB2312"/>
                <w:color w:val="000000"/>
                <w:kern w:val="2"/>
                <w:sz w:val="24"/>
                <w:szCs w:val="24"/>
                <w:lang w:val="en-US" w:eastAsia="zh-CN" w:bidi="ar-SA"/>
              </w:rPr>
              <w:t>标</w:t>
            </w:r>
            <w:r>
              <w:rPr>
                <w:rFonts w:hint="eastAsia" w:ascii="仿宋_GB2312" w:hAnsi="仿宋_GB2312" w:eastAsia="仿宋_GB2312" w:cs="仿宋_GB2312"/>
                <w:color w:val="000000"/>
                <w:sz w:val="24"/>
                <w:lang w:val="en-US" w:eastAsia="zh-CN"/>
              </w:rPr>
              <w:t>2.市容环卫作业更加精细。环卫新购置雾炮车1台、垃圾转运车辆一台，全年转运生活垃圾4.3万吨，实现了城乡生活垃圾日产日清，无害化处理率达100%。</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目</w:t>
            </w:r>
            <w:r>
              <w:rPr>
                <w:rFonts w:hint="eastAsia" w:ascii="仿宋_GB2312" w:hAnsi="仿宋_GB2312" w:eastAsia="仿宋_GB2312" w:cs="仿宋_GB2312"/>
                <w:color w:val="000000"/>
                <w:kern w:val="2"/>
                <w:sz w:val="24"/>
                <w:szCs w:val="24"/>
                <w:lang w:val="en-US" w:eastAsia="zh-CN" w:bidi="ar-SA"/>
              </w:rPr>
              <w:t>标</w:t>
            </w:r>
            <w:r>
              <w:rPr>
                <w:rFonts w:hint="eastAsia" w:ascii="仿宋_GB2312" w:hAnsi="仿宋_GB2312" w:eastAsia="仿宋_GB2312" w:cs="仿宋_GB2312"/>
                <w:color w:val="000000"/>
                <w:sz w:val="24"/>
                <w:lang w:val="en-US" w:eastAsia="zh-CN"/>
              </w:rPr>
              <w:t>3.市政设施维护更加规范。修补破损、下沉路面 10063 平方米，更换、修复雨水污水井盖共153套，整治路面积水点55处，城区道路基本完好，市政公共设施维护及时、设施完整、美观大方。</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目</w:t>
            </w:r>
            <w:r>
              <w:rPr>
                <w:rFonts w:hint="eastAsia" w:ascii="仿宋_GB2312" w:hAnsi="仿宋_GB2312" w:eastAsia="仿宋_GB2312" w:cs="仿宋_GB2312"/>
                <w:color w:val="000000"/>
                <w:kern w:val="2"/>
                <w:sz w:val="24"/>
                <w:szCs w:val="24"/>
                <w:lang w:val="en-US" w:eastAsia="zh-CN" w:bidi="ar-SA"/>
              </w:rPr>
              <w:t>标</w:t>
            </w:r>
            <w:r>
              <w:rPr>
                <w:rFonts w:hint="eastAsia" w:ascii="仿宋_GB2312" w:hAnsi="仿宋_GB2312" w:eastAsia="仿宋_GB2312" w:cs="仿宋_GB2312"/>
                <w:color w:val="000000"/>
                <w:sz w:val="24"/>
                <w:lang w:val="en-US" w:eastAsia="zh-CN"/>
              </w:rPr>
              <w:t>4.绿化亮化更加优质。补栽树木500余株，维修路灯850余盏。完成了旅游路1160株行道树进行了修剪，形成了市级修剪规范、层次分明的绿化景观示范路。</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目</w:t>
            </w:r>
            <w:r>
              <w:rPr>
                <w:rFonts w:hint="eastAsia" w:ascii="仿宋_GB2312" w:hAnsi="仿宋_GB2312" w:eastAsia="仿宋_GB2312" w:cs="仿宋_GB2312"/>
                <w:color w:val="000000"/>
                <w:kern w:val="2"/>
                <w:sz w:val="24"/>
                <w:szCs w:val="24"/>
                <w:lang w:val="en-US" w:eastAsia="zh-CN" w:bidi="ar-SA"/>
              </w:rPr>
              <w:t>标</w:t>
            </w:r>
            <w:r>
              <w:rPr>
                <w:rFonts w:hint="eastAsia" w:ascii="仿宋_GB2312" w:hAnsi="仿宋_GB2312" w:eastAsia="仿宋_GB2312" w:cs="仿宋_GB2312"/>
                <w:color w:val="000000"/>
                <w:sz w:val="24"/>
                <w:lang w:val="en-US" w:eastAsia="zh-CN"/>
              </w:rPr>
              <w:t>5.项目建设更加高效。投资3389万的市级督办项目旅游路地下管网项目稳步推进。区级重点民生实事—大岳高速君山城区桥下空间保护性建设工程投资184万，建成了6412.3平方米的城区停车场，于6月份投入使用。民旺路生态停车场已动工兴建，区人民医院停车场已完成立项等前期工作，着力解决城区停车难问题。</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w:t>
            </w:r>
            <w:r>
              <w:rPr>
                <w:rFonts w:hint="eastAsia" w:ascii="仿宋_GB2312" w:hAnsi="仿宋_GB2312" w:eastAsia="仿宋_GB2312" w:cs="仿宋_GB2312"/>
                <w:color w:val="000000"/>
                <w:kern w:val="2"/>
                <w:sz w:val="24"/>
                <w:szCs w:val="24"/>
                <w:lang w:val="en-US" w:eastAsia="zh-CN" w:bidi="ar-SA"/>
              </w:rPr>
              <w:t>标</w:t>
            </w:r>
            <w:r>
              <w:rPr>
                <w:rFonts w:hint="eastAsia" w:ascii="仿宋_GB2312" w:hAnsi="仿宋_GB2312" w:eastAsia="仿宋_GB2312" w:cs="仿宋_GB2312"/>
                <w:color w:val="000000"/>
                <w:sz w:val="24"/>
                <w:lang w:val="en-US" w:eastAsia="zh-CN"/>
              </w:rPr>
              <w:t>6.城管执法更加有力。下达《道路扬尘污染问题督办单》34份，行政处罚通知15份，行政处罚4.45万元；完成马路市场、出店经营专项整治10次，劝导游摊小贩990多次，整治出店经营143次，下发整改书63次，签订夜市烧烤无油烟承诺书17份；深入开展禁炮执法行动，建立中心城区每日炮情反馈机制，全年出动宣传车辆410次，树立禁炮标牌100多块，发放“致市民的一封信”16000余份，签订《禁炮承诺书》500余份，制止燃放行为200多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30"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283"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5"/>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eastAsia="zh-CN"/>
              </w:rPr>
              <w:t>主城区路灯照明监控系统</w:t>
            </w:r>
            <w:r>
              <w:rPr>
                <w:rFonts w:hint="eastAsia" w:ascii="仿宋_GB2312" w:hAnsi="仿宋_GB2312" w:eastAsia="仿宋_GB2312" w:cs="仿宋_GB2312"/>
                <w:color w:val="000000"/>
                <w:sz w:val="24"/>
                <w:lang w:val="en-US" w:eastAsia="zh-CN"/>
              </w:rPr>
              <w:t>升级</w:t>
            </w:r>
            <w:r>
              <w:rPr>
                <w:rFonts w:hint="eastAsia" w:ascii="仿宋_GB2312" w:hAnsi="仿宋_GB2312" w:eastAsia="仿宋_GB2312" w:cs="仿宋_GB2312"/>
                <w:color w:val="000000"/>
                <w:sz w:val="24"/>
                <w:lang w:eastAsia="zh-CN"/>
              </w:rPr>
              <w:t>改造，</w:t>
            </w:r>
            <w:r>
              <w:rPr>
                <w:rFonts w:hint="eastAsia" w:ascii="仿宋_GB2312" w:hAnsi="仿宋_GB2312" w:eastAsia="仿宋_GB2312" w:cs="仿宋_GB2312"/>
                <w:color w:val="000000"/>
                <w:sz w:val="24"/>
                <w:lang w:val="en-US" w:eastAsia="zh-CN"/>
              </w:rPr>
              <w:t>确保</w:t>
            </w:r>
            <w:r>
              <w:rPr>
                <w:rFonts w:hint="eastAsia" w:ascii="仿宋_GB2312" w:hAnsi="仿宋_GB2312" w:eastAsia="仿宋_GB2312" w:cs="仿宋_GB2312"/>
                <w:color w:val="000000"/>
                <w:sz w:val="24"/>
              </w:rPr>
              <w:t>路灯亮灯率和设施完好率</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val="0"/>
                <w:bCs/>
                <w:color w:val="000000"/>
                <w:sz w:val="24"/>
                <w:lang w:val="en-US" w:eastAsia="zh-CN"/>
              </w:rPr>
              <w:t>已完成，进入“智能路灯”时代</w:t>
            </w:r>
            <w:r>
              <w:rPr>
                <w:rFonts w:hint="eastAsia" w:ascii="仿宋_GB2312" w:hAnsi="仿宋_GB2312" w:eastAsia="仿宋_GB2312" w:cs="仿宋_GB2312"/>
                <w:color w:val="000000"/>
                <w:sz w:val="24"/>
              </w:rPr>
              <w:t>。路灯亮灯率和设施完好率</w:t>
            </w:r>
            <w:r>
              <w:rPr>
                <w:rFonts w:hint="eastAsia" w:ascii="仿宋_GB2312" w:hAnsi="仿宋_GB2312" w:eastAsia="仿宋_GB2312" w:cs="仿宋_GB2312"/>
                <w:color w:val="000000"/>
                <w:sz w:val="24"/>
                <w:lang w:val="en-US" w:eastAsia="zh-CN"/>
              </w:rPr>
              <w:t>分别达到</w:t>
            </w:r>
            <w:r>
              <w:rPr>
                <w:rFonts w:hint="eastAsia" w:ascii="仿宋_GB2312" w:hAnsi="仿宋_GB2312" w:eastAsia="仿宋_GB2312" w:cs="仿宋_GB2312"/>
                <w:color w:val="000000"/>
                <w:sz w:val="24"/>
              </w:rPr>
              <w:t>98%、100%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60"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文明执法</w:t>
            </w:r>
          </w:p>
        </w:tc>
        <w:tc>
          <w:tcPr>
            <w:tcW w:w="2684" w:type="dxa"/>
            <w:gridSpan w:val="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没有发生执法纠纷事件</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lang w:val="en-US" w:eastAsia="zh-CN"/>
              </w:rPr>
              <w:t>无</w:t>
            </w:r>
            <w:r>
              <w:rPr>
                <w:rFonts w:hint="eastAsia" w:ascii="仿宋_GB2312" w:hAnsi="仿宋_GB2312" w:eastAsia="仿宋_GB2312" w:cs="仿宋_GB2312"/>
                <w:color w:val="000000"/>
                <w:sz w:val="24"/>
              </w:rPr>
              <w:t>负面舆情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90"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5"/>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color w:val="000000"/>
                <w:sz w:val="24"/>
                <w:lang w:eastAsia="zh-CN"/>
              </w:rPr>
              <w:t>缓解停车难问题</w:t>
            </w:r>
          </w:p>
        </w:tc>
        <w:tc>
          <w:tcPr>
            <w:tcW w:w="2684" w:type="dxa"/>
            <w:gridSpan w:val="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大岳高速君山城区桥下空间保护性建设工程已全部完工，建成了6412.3平方米的城区停车场，于6月份投入使用。民旺路生态停车场已动工兴建。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开展市容秩序整治</w:t>
            </w:r>
          </w:p>
        </w:tc>
        <w:tc>
          <w:tcPr>
            <w:tcW w:w="2684" w:type="dxa"/>
            <w:gridSpan w:val="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开展了乱停乱靠、夜市经营、占道经营、马路市场、禁炮管理、违法广告招牌拆牌六大集中整治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0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环卫降尘作业</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每天</w:t>
            </w:r>
            <w:r>
              <w:rPr>
                <w:rFonts w:hint="eastAsia" w:ascii="仿宋_GB2312" w:hAnsi="仿宋_GB2312" w:eastAsia="仿宋_GB2312" w:cs="仿宋_GB2312"/>
                <w:color w:val="000000"/>
                <w:sz w:val="24"/>
                <w:lang w:val="en-US" w:eastAsia="zh-CN"/>
              </w:rPr>
              <w:t>2</w:t>
            </w:r>
            <w:r>
              <w:rPr>
                <w:rFonts w:hint="eastAsia" w:ascii="仿宋_GB2312" w:hAnsi="仿宋_GB2312" w:eastAsia="仿宋_GB2312" w:cs="仿宋_GB2312"/>
                <w:color w:val="000000"/>
                <w:sz w:val="24"/>
              </w:rPr>
              <w:t>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5"/>
            <w:vAlign w:val="center"/>
          </w:tcPr>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left"/>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3.</w:t>
            </w:r>
            <w:r>
              <w:rPr>
                <w:rFonts w:hint="eastAsia" w:ascii="仿宋_GB2312" w:hAnsi="仿宋_GB2312" w:eastAsia="仿宋_GB2312" w:cs="仿宋_GB2312"/>
                <w:color w:val="000000"/>
                <w:sz w:val="24"/>
                <w:lang w:eastAsia="zh-CN"/>
              </w:rPr>
              <w:t>市政维护优质</w:t>
            </w:r>
          </w:p>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p>
        </w:tc>
        <w:tc>
          <w:tcPr>
            <w:tcW w:w="2684" w:type="dxa"/>
            <w:gridSpan w:val="5"/>
            <w:vAlign w:val="center"/>
          </w:tcPr>
          <w:p>
            <w:pPr>
              <w:autoSpaceDN w:val="0"/>
              <w:spacing w:line="320" w:lineRule="exact"/>
              <w:jc w:val="left"/>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修补破损、下沉路面10063 平方米，更换、修复雨水污水井盖共153套，整治路面积水点55处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5"/>
            <w:vAlign w:val="center"/>
          </w:tcPr>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rPr>
                <w:rFonts w:hint="eastAsia" w:ascii="仿宋_GB2312" w:hAnsi="仿宋_GB2312" w:eastAsia="仿宋_GB2312" w:cs="仿宋_GB2312"/>
                <w:color w:val="000000"/>
                <w:kern w:val="2"/>
                <w:sz w:val="24"/>
                <w:szCs w:val="24"/>
                <w:lang w:val="en-US" w:eastAsia="zh-CN" w:bidi="ar-SA"/>
              </w:rPr>
            </w:pPr>
          </w:p>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4.</w:t>
            </w:r>
            <w:r>
              <w:rPr>
                <w:rFonts w:hint="eastAsia" w:ascii="仿宋_GB2312" w:hAnsi="仿宋_GB2312" w:eastAsia="仿宋_GB2312" w:cs="仿宋_GB2312"/>
                <w:color w:val="000000"/>
                <w:sz w:val="24"/>
                <w:lang w:eastAsia="zh-CN"/>
              </w:rPr>
              <w:t>燃气管理工作</w:t>
            </w:r>
          </w:p>
        </w:tc>
        <w:tc>
          <w:tcPr>
            <w:tcW w:w="2684" w:type="dxa"/>
            <w:gridSpan w:val="5"/>
            <w:vAlign w:val="center"/>
          </w:tcPr>
          <w:p>
            <w:pPr>
              <w:autoSpaceDN w:val="0"/>
              <w:spacing w:line="320" w:lineRule="exact"/>
              <w:jc w:val="left"/>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组织燃气安全培训</w:t>
            </w:r>
            <w:r>
              <w:rPr>
                <w:rFonts w:hint="eastAsia" w:ascii="仿宋_GB2312" w:hAnsi="仿宋_GB2312" w:eastAsia="仿宋_GB2312" w:cs="仿宋_GB2312"/>
                <w:color w:val="000000"/>
                <w:sz w:val="24"/>
                <w:lang w:val="en-US" w:eastAsia="zh-CN"/>
              </w:rPr>
              <w:t>2</w:t>
            </w:r>
            <w:r>
              <w:rPr>
                <w:rFonts w:hint="eastAsia" w:ascii="仿宋_GB2312" w:hAnsi="仿宋_GB2312" w:eastAsia="仿宋_GB2312" w:cs="仿宋_GB2312"/>
                <w:color w:val="000000"/>
                <w:sz w:val="24"/>
              </w:rPr>
              <w:t>次，开展安全隐患大检查2次，</w:t>
            </w:r>
            <w:r>
              <w:rPr>
                <w:rFonts w:hint="eastAsia" w:ascii="仿宋_GB2312" w:hAnsi="仿宋_GB2312" w:eastAsia="仿宋_GB2312" w:cs="仿宋_GB2312"/>
                <w:color w:val="000000"/>
                <w:sz w:val="24"/>
                <w:lang w:val="en-US" w:eastAsia="zh-CN"/>
              </w:rPr>
              <w:t>发放</w:t>
            </w:r>
            <w:r>
              <w:rPr>
                <w:rFonts w:hint="eastAsia" w:ascii="仿宋_GB2312" w:hAnsi="仿宋_GB2312" w:eastAsia="仿宋_GB2312" w:cs="仿宋_GB2312"/>
                <w:color w:val="000000"/>
                <w:sz w:val="24"/>
              </w:rPr>
              <w:t>燃气</w:t>
            </w:r>
            <w:r>
              <w:rPr>
                <w:rFonts w:hint="eastAsia" w:ascii="仿宋_GB2312" w:hAnsi="仿宋_GB2312" w:eastAsia="仿宋_GB2312" w:cs="仿宋_GB2312"/>
                <w:color w:val="000000"/>
                <w:sz w:val="24"/>
                <w:lang w:val="en-US" w:eastAsia="zh-CN"/>
              </w:rPr>
              <w:t>安全宣传册5000多份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Merge w:val="continue"/>
            <w:vAlign w:val="center"/>
          </w:tcPr>
          <w:p>
            <w:pPr>
              <w:autoSpaceDN w:val="0"/>
              <w:spacing w:line="320" w:lineRule="exact"/>
              <w:jc w:val="both"/>
              <w:textAlignment w:val="center"/>
              <w:rPr>
                <w:rFonts w:hint="eastAsia" w:ascii="仿宋_GB2312" w:hAnsi="仿宋_GB2312" w:eastAsia="仿宋_GB2312" w:cs="仿宋_GB2312"/>
                <w:sz w:val="24"/>
              </w:rPr>
            </w:pPr>
          </w:p>
        </w:tc>
        <w:tc>
          <w:tcPr>
            <w:tcW w:w="2709" w:type="dxa"/>
            <w:gridSpan w:val="5"/>
            <w:vAlign w:val="center"/>
          </w:tcPr>
          <w:p>
            <w:pPr>
              <w:rPr>
                <w:rFonts w:hint="eastAsia"/>
              </w:rPr>
            </w:pPr>
            <w:r>
              <w:rPr>
                <w:rFonts w:hint="eastAsia" w:ascii="仿宋_GB2312" w:hAnsi="仿宋_GB2312" w:eastAsia="仿宋_GB2312" w:cs="仿宋_GB2312"/>
                <w:color w:val="000000"/>
                <w:sz w:val="24"/>
                <w:lang w:val="en-US" w:eastAsia="zh-CN"/>
              </w:rPr>
              <w:t>5.</w:t>
            </w:r>
            <w:r>
              <w:rPr>
                <w:rFonts w:hint="eastAsia" w:ascii="仿宋_GB2312" w:hAnsi="仿宋_GB2312" w:eastAsia="仿宋_GB2312" w:cs="仿宋_GB2312"/>
                <w:color w:val="000000"/>
                <w:sz w:val="24"/>
                <w:lang w:eastAsia="zh-CN"/>
              </w:rPr>
              <w:t>精细</w:t>
            </w:r>
            <w:r>
              <w:rPr>
                <w:rFonts w:hint="eastAsia" w:ascii="仿宋_GB2312" w:hAnsi="仿宋_GB2312" w:eastAsia="仿宋_GB2312" w:cs="仿宋_GB2312"/>
                <w:color w:val="000000"/>
                <w:sz w:val="24"/>
              </w:rPr>
              <w:t>美化亮化</w:t>
            </w:r>
          </w:p>
        </w:tc>
        <w:tc>
          <w:tcPr>
            <w:tcW w:w="2684" w:type="dxa"/>
            <w:gridSpan w:val="5"/>
            <w:vAlign w:val="center"/>
          </w:tcPr>
          <w:p>
            <w:pPr>
              <w:autoSpaceDN w:val="0"/>
              <w:spacing w:line="320" w:lineRule="exact"/>
              <w:jc w:val="both"/>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补栽树木500余株，维修路灯850余盏。完成了旅游路1160株行道树进行了修剪，形成了市级修剪规范、层次分明的绿化景观示范路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5"/>
            <w:vAlign w:val="center"/>
          </w:tcPr>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计划任务</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center"/>
              <w:rPr>
                <w:rFonts w:hint="eastAsia" w:ascii="仿宋_GB2312" w:hAnsi="仿宋_GB2312" w:eastAsia="仿宋_GB2312" w:cs="仿宋_GB2312"/>
                <w:color w:val="000000"/>
                <w:sz w:val="24"/>
              </w:rPr>
            </w:pP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eastAsia="zh-CN"/>
              </w:rPr>
              <w:t>已按计划完成任务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突击任务</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eastAsia="zh-CN"/>
              </w:rPr>
              <w:t>高效优质完成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3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应急事项</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eastAsia="zh-CN"/>
              </w:rPr>
              <w:t>快速完成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39"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Align w:val="center"/>
          </w:tcPr>
          <w:p>
            <w:pPr>
              <w:autoSpaceDN w:val="0"/>
              <w:spacing w:line="320" w:lineRule="exact"/>
              <w:rPr>
                <w:rFonts w:hint="eastAsia" w:ascii="仿宋_GB2312" w:hAnsi="仿宋_GB2312" w:eastAsia="仿宋_GB2312" w:cs="仿宋_GB2312"/>
                <w:sz w:val="24"/>
              </w:rPr>
            </w:pPr>
          </w:p>
        </w:tc>
        <w:tc>
          <w:tcPr>
            <w:tcW w:w="1283"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成本指标</w:t>
            </w:r>
          </w:p>
        </w:tc>
        <w:tc>
          <w:tcPr>
            <w:tcW w:w="2709" w:type="dxa"/>
            <w:gridSpan w:val="5"/>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项目成本按计划控制</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eastAsia="zh-CN"/>
              </w:rPr>
              <w:t>控制在预算内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165"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283"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努力</w:t>
            </w:r>
            <w:r>
              <w:rPr>
                <w:rFonts w:hint="eastAsia" w:ascii="仿宋_GB2312" w:hAnsi="仿宋_GB2312" w:eastAsia="仿宋_GB2312" w:cs="仿宋_GB2312"/>
                <w:color w:val="000000"/>
                <w:sz w:val="24"/>
                <w:lang w:val="en-US" w:eastAsia="zh-CN"/>
              </w:rPr>
              <w:t>建设“精致君山”，</w:t>
            </w:r>
            <w:r>
              <w:rPr>
                <w:rFonts w:hint="eastAsia" w:ascii="仿宋_GB2312" w:hAnsi="仿宋_GB2312" w:eastAsia="仿宋_GB2312" w:cs="仿宋_GB2312"/>
                <w:color w:val="000000"/>
                <w:sz w:val="24"/>
                <w:lang w:eastAsia="zh-CN"/>
              </w:rPr>
              <w:t>把</w:t>
            </w:r>
            <w:r>
              <w:rPr>
                <w:rFonts w:hint="eastAsia" w:ascii="仿宋_GB2312" w:hAnsi="仿宋_GB2312" w:eastAsia="仿宋_GB2312" w:cs="仿宋_GB2312"/>
                <w:color w:val="000000"/>
                <w:sz w:val="24"/>
                <w:lang w:val="en-US" w:eastAsia="zh-CN"/>
              </w:rPr>
              <w:t>君山</w:t>
            </w:r>
            <w:r>
              <w:rPr>
                <w:rFonts w:hint="eastAsia" w:ascii="仿宋_GB2312" w:hAnsi="仿宋_GB2312" w:eastAsia="仿宋_GB2312" w:cs="仿宋_GB2312"/>
                <w:color w:val="000000"/>
                <w:sz w:val="24"/>
                <w:lang w:eastAsia="zh-CN"/>
              </w:rPr>
              <w:t>建成干净、卫生、整洁、宜居、有品质的城市，使其成为岳阳文明形象的一张靓丽名片和招商引资金字招牌。</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eastAsia="zh-CN"/>
              </w:rPr>
              <w:t>群众满意度高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95"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5"/>
            <w:vAlign w:val="center"/>
          </w:tcPr>
          <w:p>
            <w:pPr>
              <w:autoSpaceDN w:val="0"/>
              <w:spacing w:line="320" w:lineRule="exact"/>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指标1：规范城市管理</w:t>
            </w:r>
          </w:p>
          <w:p>
            <w:pPr>
              <w:autoSpaceDN w:val="0"/>
              <w:spacing w:line="320" w:lineRule="exact"/>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指标2：提升城市形象</w:t>
            </w:r>
          </w:p>
        </w:tc>
        <w:tc>
          <w:tcPr>
            <w:tcW w:w="2684" w:type="dxa"/>
            <w:gridSpan w:val="5"/>
            <w:vAlign w:val="center"/>
          </w:tcPr>
          <w:p>
            <w:pPr>
              <w:autoSpaceDN w:val="0"/>
              <w:spacing w:line="320" w:lineRule="exact"/>
              <w:jc w:val="center"/>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color w:val="000000"/>
                <w:sz w:val="24"/>
                <w:lang w:val="en-US" w:eastAsia="zh-CN"/>
              </w:rPr>
              <w:t>达标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45"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美化城市环境，优化生态环境</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eastAsia="zh-CN"/>
              </w:rPr>
              <w:t>生态环境良好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683"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283"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服务对象满意度指标在95%以上</w:t>
            </w:r>
          </w:p>
        </w:tc>
        <w:tc>
          <w:tcPr>
            <w:tcW w:w="2684" w:type="dxa"/>
            <w:gridSpan w:val="5"/>
            <w:vAlign w:val="center"/>
          </w:tcPr>
          <w:p>
            <w:pPr>
              <w:autoSpaceDN w:val="0"/>
              <w:spacing w:line="320" w:lineRule="exact"/>
              <w:jc w:val="center"/>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b w:val="0"/>
                <w:bCs/>
                <w:color w:val="000000"/>
                <w:sz w:val="24"/>
                <w:lang w:val="en-US" w:eastAsia="zh-CN"/>
              </w:rPr>
              <w:t>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17" w:hRule="atLeast"/>
          <w:jc w:val="center"/>
        </w:trPr>
        <w:tc>
          <w:tcPr>
            <w:tcW w:w="3124"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676" w:type="dxa"/>
            <w:gridSpan w:val="1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67" w:hRule="atLeast"/>
          <w:jc w:val="center"/>
        </w:trPr>
        <w:tc>
          <w:tcPr>
            <w:tcW w:w="3124"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676"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李阳军</w:t>
            </w:r>
          </w:p>
        </w:tc>
        <w:tc>
          <w:tcPr>
            <w:tcW w:w="3561"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副局长</w:t>
            </w:r>
          </w:p>
        </w:tc>
        <w:tc>
          <w:tcPr>
            <w:tcW w:w="1479"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区城管局</w:t>
            </w:r>
          </w:p>
        </w:tc>
        <w:tc>
          <w:tcPr>
            <w:tcW w:w="3106"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陈银刚</w:t>
            </w:r>
          </w:p>
        </w:tc>
        <w:tc>
          <w:tcPr>
            <w:tcW w:w="3561"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副局长</w:t>
            </w:r>
          </w:p>
        </w:tc>
        <w:tc>
          <w:tcPr>
            <w:tcW w:w="1479"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区城管局</w:t>
            </w:r>
          </w:p>
        </w:tc>
        <w:tc>
          <w:tcPr>
            <w:tcW w:w="3106"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李金福</w:t>
            </w:r>
          </w:p>
        </w:tc>
        <w:tc>
          <w:tcPr>
            <w:tcW w:w="3561" w:type="dxa"/>
            <w:gridSpan w:val="5"/>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副局长</w:t>
            </w:r>
          </w:p>
        </w:tc>
        <w:tc>
          <w:tcPr>
            <w:tcW w:w="1479"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区城管局</w:t>
            </w:r>
          </w:p>
        </w:tc>
        <w:tc>
          <w:tcPr>
            <w:tcW w:w="3106"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邓江平</w:t>
            </w:r>
          </w:p>
        </w:tc>
        <w:tc>
          <w:tcPr>
            <w:tcW w:w="3561" w:type="dxa"/>
            <w:gridSpan w:val="5"/>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办公室主任</w:t>
            </w:r>
          </w:p>
        </w:tc>
        <w:tc>
          <w:tcPr>
            <w:tcW w:w="1479"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区城管局</w:t>
            </w:r>
          </w:p>
        </w:tc>
        <w:tc>
          <w:tcPr>
            <w:tcW w:w="3106"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6"/>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6"/>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6"/>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w:t>
            </w:r>
            <w:r>
              <w:rPr>
                <w:rFonts w:hint="eastAsia" w:eastAsia="仿宋_GB2312"/>
                <w:sz w:val="24"/>
                <w:lang w:eastAsia="zh-CN"/>
              </w:rPr>
              <w:t>股</w:t>
            </w:r>
            <w:r>
              <w:rPr>
                <w:rFonts w:hint="eastAsia" w:eastAsia="仿宋_GB2312"/>
                <w:sz w:val="24"/>
              </w:rPr>
              <w:t>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填报人（签名）：</w:t>
      </w:r>
      <w:r>
        <w:rPr>
          <w:rFonts w:hint="eastAsia" w:eastAsia="仿宋_GB2312" w:cs="仿宋_GB2312"/>
          <w:bCs/>
          <w:sz w:val="28"/>
          <w:szCs w:val="28"/>
          <w:lang w:val="en-US" w:eastAsia="zh-CN"/>
        </w:rPr>
        <w:t>符爱群</w:t>
      </w:r>
      <w:r>
        <w:rPr>
          <w:rFonts w:hint="eastAsia" w:eastAsia="仿宋_GB2312" w:cs="仿宋_GB2312"/>
          <w:bCs/>
          <w:sz w:val="28"/>
          <w:szCs w:val="28"/>
        </w:rPr>
        <w:t xml:space="preserve">                 联系电话：</w:t>
      </w:r>
      <w:r>
        <w:rPr>
          <w:rFonts w:hint="eastAsia" w:eastAsia="仿宋_GB2312" w:cs="仿宋_GB2312"/>
          <w:bCs/>
          <w:sz w:val="28"/>
          <w:szCs w:val="28"/>
          <w:lang w:val="en-US" w:eastAsia="zh-CN"/>
        </w:rPr>
        <w:t>13507304191</w:t>
      </w:r>
    </w:p>
    <w:tbl>
      <w:tblPr>
        <w:tblStyle w:val="8"/>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vAlign w:val="top"/>
          </w:tcPr>
          <w:p>
            <w:pPr>
              <w:jc w:val="center"/>
              <w:rPr>
                <w:rFonts w:hint="eastAsia" w:ascii="宋体" w:hAnsi="宋体" w:eastAsia="宋体" w:cs="宋体"/>
                <w:b/>
                <w:bCs w:val="0"/>
                <w:sz w:val="28"/>
                <w:szCs w:val="28"/>
              </w:rPr>
            </w:pPr>
            <w:r>
              <w:rPr>
                <w:rFonts w:hint="eastAsia" w:ascii="宋体" w:hAnsi="宋体" w:eastAsia="宋体" w:cs="宋体"/>
                <w:b/>
                <w:bCs w:val="0"/>
                <w:sz w:val="28"/>
                <w:szCs w:val="28"/>
              </w:rPr>
              <w:t>五、评价报告综述（文字部分）</w:t>
            </w:r>
          </w:p>
          <w:p>
            <w:pPr>
              <w:spacing w:line="440" w:lineRule="exact"/>
              <w:ind w:firstLine="562" w:firstLineChars="200"/>
              <w:jc w:val="center"/>
              <w:rPr>
                <w:rFonts w:hint="eastAsia" w:ascii="宋体" w:hAnsi="宋体" w:eastAsia="宋体" w:cs="宋体"/>
                <w:b/>
                <w:bCs w:val="0"/>
                <w:sz w:val="28"/>
                <w:szCs w:val="28"/>
              </w:rPr>
            </w:pPr>
          </w:p>
          <w:p>
            <w:pPr>
              <w:spacing w:line="560" w:lineRule="exact"/>
              <w:ind w:firstLine="562" w:firstLineChars="200"/>
              <w:rPr>
                <w:rFonts w:hint="eastAsia" w:ascii="宋体" w:hAnsi="宋体" w:eastAsia="宋体" w:cs="宋体"/>
                <w:b/>
                <w:bCs w:val="0"/>
                <w:sz w:val="28"/>
                <w:szCs w:val="28"/>
              </w:rPr>
            </w:pPr>
            <w:r>
              <w:rPr>
                <w:rFonts w:hint="eastAsia" w:ascii="宋体" w:hAnsi="宋体" w:eastAsia="宋体" w:cs="宋体"/>
                <w:b/>
                <w:bCs w:val="0"/>
                <w:sz w:val="28"/>
                <w:szCs w:val="28"/>
              </w:rPr>
              <w:t>一、部门（单位）概况</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rPr>
              <w:t>（一）部门（单位）基本情况</w:t>
            </w:r>
          </w:p>
          <w:p>
            <w:pPr>
              <w:spacing w:line="52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rPr>
              <w:t>区城管局于2019年3月29日正式挂牌成立，为区政府工作部门，主要承担环境卫生、园林绿化、城管执法、市政维护、路灯亮化、渣土运输、道路破占、户外广告、城镇燃气、停车管理等多项职能。局机关设办公室（政策法规股）、城市管理股、行政审批股、燃气管理办公室、市政公用设施建设管理股、政工计财股等6个股室。直属事业单位5个，区城市管理综合执法大队、区</w:t>
            </w:r>
            <w:r>
              <w:rPr>
                <w:rFonts w:hint="eastAsia" w:ascii="仿宋" w:hAnsi="仿宋" w:eastAsia="仿宋" w:cs="仿宋"/>
                <w:sz w:val="28"/>
                <w:szCs w:val="28"/>
                <w:lang w:val="en-US" w:eastAsia="zh-CN"/>
              </w:rPr>
              <w:t>市容环境卫生服务中心</w:t>
            </w:r>
            <w:r>
              <w:rPr>
                <w:rFonts w:hint="eastAsia" w:ascii="仿宋" w:hAnsi="仿宋" w:eastAsia="仿宋" w:cs="仿宋"/>
                <w:sz w:val="28"/>
                <w:szCs w:val="28"/>
              </w:rPr>
              <w:t>，区园林绿化中心、区路灯</w:t>
            </w:r>
            <w:r>
              <w:rPr>
                <w:rFonts w:hint="eastAsia" w:ascii="仿宋" w:hAnsi="仿宋" w:eastAsia="仿宋" w:cs="仿宋"/>
                <w:sz w:val="28"/>
                <w:szCs w:val="28"/>
                <w:lang w:val="en-US" w:eastAsia="zh-CN"/>
              </w:rPr>
              <w:t>事务</w:t>
            </w:r>
            <w:r>
              <w:rPr>
                <w:rFonts w:hint="eastAsia" w:ascii="仿宋" w:hAnsi="仿宋" w:eastAsia="仿宋" w:cs="仿宋"/>
                <w:sz w:val="28"/>
                <w:szCs w:val="28"/>
              </w:rPr>
              <w:t>所、区垃圾处理中心。现有人数311人（其中在岗在编54人，退休31人，劳务派遣53人，一线环卫合同工173人），现有车辆33台（其中执法车辆4台，各类专业车辆29台）</w:t>
            </w:r>
            <w:r>
              <w:rPr>
                <w:rFonts w:hint="eastAsia" w:ascii="仿宋" w:hAnsi="仿宋" w:eastAsia="仿宋" w:cs="仿宋"/>
                <w:sz w:val="28"/>
                <w:szCs w:val="28"/>
                <w:lang w:eastAsia="zh-CN"/>
              </w:rPr>
              <w:t>。</w:t>
            </w:r>
          </w:p>
          <w:p>
            <w:pPr>
              <w:spacing w:line="520" w:lineRule="exact"/>
              <w:ind w:firstLine="562" w:firstLineChars="200"/>
              <w:rPr>
                <w:rFonts w:hint="eastAsia" w:ascii="仿宋" w:hAnsi="仿宋" w:eastAsia="仿宋" w:cs="仿宋"/>
                <w:sz w:val="28"/>
                <w:szCs w:val="28"/>
              </w:rPr>
            </w:pPr>
            <w:r>
              <w:rPr>
                <w:rFonts w:hint="eastAsia" w:ascii="仿宋" w:hAnsi="仿宋" w:eastAsia="仿宋" w:cs="仿宋"/>
                <w:b/>
                <w:bCs/>
                <w:sz w:val="28"/>
                <w:szCs w:val="28"/>
                <w:lang w:eastAsia="zh-CN"/>
              </w:rPr>
              <w:t>（</w:t>
            </w:r>
            <w:r>
              <w:rPr>
                <w:rFonts w:hint="eastAsia" w:ascii="仿宋" w:hAnsi="仿宋" w:eastAsia="仿宋" w:cs="仿宋"/>
                <w:b/>
                <w:bCs/>
                <w:sz w:val="28"/>
                <w:szCs w:val="28"/>
                <w:lang w:val="en-US" w:eastAsia="zh-CN"/>
              </w:rPr>
              <w:t>二）</w:t>
            </w:r>
            <w:r>
              <w:rPr>
                <w:rFonts w:hint="eastAsia" w:ascii="仿宋" w:hAnsi="仿宋" w:eastAsia="仿宋" w:cs="仿宋"/>
                <w:b/>
                <w:bCs/>
                <w:sz w:val="28"/>
                <w:szCs w:val="28"/>
              </w:rPr>
              <w:t>部门（单位）整体支出规模、使用方向和主要内容、涉及范围等</w:t>
            </w:r>
          </w:p>
          <w:p>
            <w:pPr>
              <w:spacing w:line="52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2020年度实际支出3034.37万元（其中基本支出795.88万元，项目支出2238.49万元）。</w:t>
            </w:r>
          </w:p>
          <w:p>
            <w:pPr>
              <w:spacing w:line="520" w:lineRule="exact"/>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基本支出主要列支人员支出（包括工资福利支出及对个人和家庭的补助）和公用支出（商品和服务支出及资本性支出）。项目支出主要列支环境卫生经费，垃圾处理经费，垃圾分类经费，城市综合管理执法经费，燃气市场管理经费，园林绿化维护经费，路灯维修（护）经费，市政应急维护经费及旅游路地下管网建设，区人民医院停车场建设，民旺路生态停车场建设等区级重大项目的投入。</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rPr>
              <w:t>二、部门（单位）整体支出管理及使用情况</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rPr>
              <w:t>（一）基本支出</w:t>
            </w:r>
          </w:p>
          <w:p>
            <w:pPr>
              <w:spacing w:line="520" w:lineRule="exact"/>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2020年度</w:t>
            </w:r>
            <w:r>
              <w:rPr>
                <w:rFonts w:hint="eastAsia" w:ascii="仿宋" w:hAnsi="仿宋" w:eastAsia="仿宋" w:cs="仿宋"/>
                <w:sz w:val="28"/>
                <w:szCs w:val="28"/>
              </w:rPr>
              <w:t>基本支出</w:t>
            </w:r>
            <w:r>
              <w:rPr>
                <w:rFonts w:hint="eastAsia" w:ascii="仿宋" w:hAnsi="仿宋" w:eastAsia="仿宋" w:cs="仿宋"/>
                <w:sz w:val="28"/>
                <w:szCs w:val="28"/>
                <w:lang w:val="en-US" w:eastAsia="zh-CN"/>
              </w:rPr>
              <w:t>795.88</w:t>
            </w:r>
            <w:r>
              <w:rPr>
                <w:rFonts w:hint="eastAsia" w:ascii="仿宋" w:hAnsi="仿宋" w:eastAsia="仿宋" w:cs="仿宋"/>
                <w:sz w:val="28"/>
                <w:szCs w:val="28"/>
              </w:rPr>
              <w:t>万元，</w:t>
            </w:r>
            <w:r>
              <w:rPr>
                <w:rFonts w:hint="eastAsia" w:ascii="仿宋" w:hAnsi="仿宋" w:eastAsia="仿宋" w:cs="仿宋"/>
                <w:sz w:val="28"/>
                <w:szCs w:val="28"/>
                <w:lang w:val="en-US" w:eastAsia="zh-CN"/>
              </w:rPr>
              <w:t>其中</w:t>
            </w:r>
            <w:r>
              <w:rPr>
                <w:rFonts w:hint="eastAsia" w:ascii="仿宋" w:hAnsi="仿宋" w:eastAsia="仿宋" w:cs="仿宋"/>
                <w:sz w:val="28"/>
                <w:szCs w:val="28"/>
              </w:rPr>
              <w:t>人员支出</w:t>
            </w:r>
            <w:r>
              <w:rPr>
                <w:rFonts w:hint="eastAsia" w:ascii="仿宋" w:hAnsi="仿宋" w:eastAsia="仿宋" w:cs="仿宋"/>
                <w:sz w:val="28"/>
                <w:szCs w:val="28"/>
                <w:lang w:val="en-US" w:eastAsia="zh-CN"/>
              </w:rPr>
              <w:t>658.36</w:t>
            </w:r>
            <w:r>
              <w:rPr>
                <w:rFonts w:hint="eastAsia" w:ascii="仿宋" w:hAnsi="仿宋" w:eastAsia="仿宋" w:cs="仿宋"/>
                <w:sz w:val="28"/>
                <w:szCs w:val="28"/>
              </w:rPr>
              <w:t>万元，公用支出</w:t>
            </w:r>
            <w:r>
              <w:rPr>
                <w:rFonts w:hint="eastAsia" w:ascii="仿宋" w:hAnsi="仿宋" w:eastAsia="仿宋" w:cs="仿宋"/>
                <w:sz w:val="28"/>
                <w:szCs w:val="28"/>
                <w:lang w:val="en-US" w:eastAsia="zh-CN"/>
              </w:rPr>
              <w:t>137.52</w:t>
            </w:r>
            <w:r>
              <w:rPr>
                <w:rFonts w:hint="eastAsia" w:ascii="仿宋" w:hAnsi="仿宋" w:eastAsia="仿宋" w:cs="仿宋"/>
                <w:sz w:val="28"/>
                <w:szCs w:val="28"/>
              </w:rPr>
              <w:t>万元。</w:t>
            </w:r>
            <w:r>
              <w:rPr>
                <w:rFonts w:hint="eastAsia" w:ascii="仿宋" w:hAnsi="仿宋" w:eastAsia="仿宋" w:cs="仿宋"/>
                <w:sz w:val="28"/>
                <w:szCs w:val="28"/>
                <w:lang w:eastAsia="zh-CN"/>
              </w:rPr>
              <w:t>其中，</w:t>
            </w:r>
            <w:r>
              <w:rPr>
                <w:rFonts w:hint="eastAsia" w:ascii="仿宋" w:hAnsi="仿宋" w:eastAsia="仿宋" w:cs="仿宋"/>
                <w:sz w:val="28"/>
                <w:szCs w:val="28"/>
                <w:lang w:val="en-US" w:eastAsia="zh-CN"/>
              </w:rPr>
              <w:t>本年度公务接待费支出1.27万元,公务用车运行维护费支出0万元,因公出国费支出0万元。</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rPr>
              <w:t>（二）专项支出</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rPr>
              <w:t>1、专项资金安排落实、总投入等情况分析</w:t>
            </w:r>
          </w:p>
          <w:p>
            <w:pPr>
              <w:spacing w:line="520" w:lineRule="exact"/>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2020年项目资金年初预算1383.5万元。</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lang w:val="en-US" w:eastAsia="zh-CN"/>
              </w:rPr>
              <w:t>2、</w:t>
            </w:r>
            <w:r>
              <w:rPr>
                <w:rFonts w:hint="eastAsia" w:ascii="仿宋" w:hAnsi="仿宋" w:eastAsia="仿宋" w:cs="仿宋"/>
                <w:b/>
                <w:bCs/>
                <w:sz w:val="28"/>
                <w:szCs w:val="28"/>
              </w:rPr>
              <w:t>专项资金实际使用情况分析</w:t>
            </w:r>
          </w:p>
          <w:p>
            <w:pPr>
              <w:spacing w:line="52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2020年项目支出共2238.49万元，主要用于城管执法经费271.63万元；环卫经费1018.73万元；垃圾处理及运行经费41.65万元；路灯运行维护经费132.38万元；市政应急维护，旅游路管网项目，燃气市场管理经费、垃圾分类工作经费等774.1万元。</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lang w:val="en-US" w:eastAsia="zh-CN"/>
              </w:rPr>
              <w:t>3、</w:t>
            </w:r>
            <w:r>
              <w:rPr>
                <w:rFonts w:hint="eastAsia" w:ascii="仿宋" w:hAnsi="仿宋" w:eastAsia="仿宋" w:cs="仿宋"/>
                <w:b/>
                <w:bCs/>
                <w:sz w:val="28"/>
                <w:szCs w:val="28"/>
              </w:rPr>
              <w:t>专项资金管理情况分析</w:t>
            </w:r>
          </w:p>
          <w:p>
            <w:pPr>
              <w:spacing w:line="520" w:lineRule="exact"/>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依照《预算业务管理制度》，从预算管理职责、预算编制、预算审批与分解下达流程、预算的执行、控制与调整、决算与绩效评价等方面对专项资金进行管理，做到专项资金预算编制有目标、预算执行有监控、预算完成有评价、评价结果有反馈、反馈结果有应用。</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rPr>
              <w:t>三、部门（单位）专项组织实施情况</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rPr>
              <w:t>（一）专项组织情况分析</w:t>
            </w:r>
          </w:p>
          <w:p>
            <w:pPr>
              <w:spacing w:line="52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工程建设项目主要是</w:t>
            </w:r>
            <w:r>
              <w:rPr>
                <w:rFonts w:hint="eastAsia" w:ascii="仿宋" w:hAnsi="仿宋" w:eastAsia="仿宋" w:cs="仿宋"/>
                <w:sz w:val="28"/>
                <w:szCs w:val="28"/>
                <w:lang w:val="en-US" w:eastAsia="zh-CN"/>
              </w:rPr>
              <w:t>旅游路地下管网项目，大岳高速君山城区桥下空间保护性建设项目，民旺路生态停车场项目，区人民医院停车场项目</w:t>
            </w:r>
            <w:r>
              <w:rPr>
                <w:rFonts w:hint="eastAsia" w:ascii="仿宋" w:hAnsi="仿宋" w:eastAsia="仿宋" w:cs="仿宋"/>
                <w:sz w:val="28"/>
                <w:szCs w:val="28"/>
                <w:lang w:eastAsia="zh-CN"/>
              </w:rPr>
              <w:t>，这几个项目都已履行招投标手续。</w:t>
            </w:r>
            <w:r>
              <w:rPr>
                <w:rFonts w:hint="eastAsia" w:ascii="仿宋" w:hAnsi="仿宋" w:eastAsia="仿宋" w:cs="仿宋"/>
                <w:sz w:val="28"/>
                <w:szCs w:val="28"/>
                <w:lang w:val="en-US" w:eastAsia="zh-CN"/>
              </w:rPr>
              <w:t>春节亮化项目，垃圾车辆及专用设备购置等</w:t>
            </w:r>
            <w:r>
              <w:rPr>
                <w:rFonts w:hint="eastAsia" w:ascii="仿宋" w:hAnsi="仿宋" w:eastAsia="仿宋" w:cs="仿宋"/>
                <w:sz w:val="28"/>
                <w:szCs w:val="28"/>
                <w:lang w:eastAsia="zh-CN"/>
              </w:rPr>
              <w:t>也都履行了</w:t>
            </w:r>
            <w:r>
              <w:rPr>
                <w:rFonts w:hint="eastAsia" w:ascii="仿宋" w:hAnsi="仿宋" w:eastAsia="仿宋" w:cs="仿宋"/>
                <w:sz w:val="28"/>
                <w:szCs w:val="28"/>
                <w:lang w:val="en-US" w:eastAsia="zh-CN"/>
              </w:rPr>
              <w:t>政府采购</w:t>
            </w:r>
            <w:r>
              <w:rPr>
                <w:rFonts w:hint="eastAsia" w:ascii="仿宋" w:hAnsi="仿宋" w:eastAsia="仿宋" w:cs="仿宋"/>
                <w:sz w:val="28"/>
                <w:szCs w:val="28"/>
                <w:lang w:eastAsia="zh-CN"/>
              </w:rPr>
              <w:t>手续。</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lang w:eastAsia="zh-CN"/>
              </w:rPr>
              <w:t>（</w:t>
            </w:r>
            <w:r>
              <w:rPr>
                <w:rFonts w:hint="eastAsia" w:ascii="仿宋" w:hAnsi="仿宋" w:eastAsia="仿宋" w:cs="仿宋"/>
                <w:b/>
                <w:bCs/>
                <w:sz w:val="28"/>
                <w:szCs w:val="28"/>
                <w:lang w:val="en-US" w:eastAsia="zh-CN"/>
              </w:rPr>
              <w:t>二）</w:t>
            </w:r>
            <w:r>
              <w:rPr>
                <w:rFonts w:hint="eastAsia" w:ascii="仿宋" w:hAnsi="仿宋" w:eastAsia="仿宋" w:cs="仿宋"/>
                <w:b/>
                <w:bCs/>
                <w:sz w:val="28"/>
                <w:szCs w:val="28"/>
              </w:rPr>
              <w:t>专项管理情况分析</w:t>
            </w:r>
          </w:p>
          <w:p>
            <w:pPr>
              <w:spacing w:line="52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实行项目事前申报、事中监督、事后审计的管理模式。符合规定范围的项目，事前必须由实施单位向</w:t>
            </w:r>
            <w:r>
              <w:rPr>
                <w:rFonts w:hint="eastAsia" w:ascii="仿宋" w:hAnsi="仿宋" w:eastAsia="仿宋" w:cs="仿宋"/>
                <w:sz w:val="28"/>
                <w:szCs w:val="28"/>
                <w:lang w:val="en-US" w:eastAsia="zh-CN"/>
              </w:rPr>
              <w:t>区</w:t>
            </w:r>
            <w:r>
              <w:rPr>
                <w:rFonts w:hint="eastAsia" w:ascii="仿宋" w:hAnsi="仿宋" w:eastAsia="仿宋" w:cs="仿宋"/>
                <w:sz w:val="28"/>
                <w:szCs w:val="28"/>
              </w:rPr>
              <w:t>分管</w:t>
            </w:r>
            <w:r>
              <w:rPr>
                <w:rFonts w:hint="eastAsia" w:ascii="仿宋" w:hAnsi="仿宋" w:eastAsia="仿宋" w:cs="仿宋"/>
                <w:sz w:val="28"/>
                <w:szCs w:val="28"/>
                <w:lang w:eastAsia="zh-CN"/>
              </w:rPr>
              <w:t>领导</w:t>
            </w:r>
            <w:r>
              <w:rPr>
                <w:rFonts w:hint="eastAsia" w:ascii="仿宋" w:hAnsi="仿宋" w:eastAsia="仿宋" w:cs="仿宋"/>
                <w:sz w:val="28"/>
                <w:szCs w:val="28"/>
              </w:rPr>
              <w:t>报告后方可实施</w:t>
            </w:r>
            <w:r>
              <w:rPr>
                <w:rFonts w:hint="eastAsia" w:ascii="仿宋" w:hAnsi="仿宋" w:eastAsia="仿宋" w:cs="仿宋"/>
                <w:sz w:val="28"/>
                <w:szCs w:val="28"/>
                <w:lang w:eastAsia="zh-CN"/>
              </w:rPr>
              <w:t>；</w:t>
            </w:r>
            <w:r>
              <w:rPr>
                <w:rFonts w:hint="eastAsia" w:ascii="仿宋" w:hAnsi="仿宋" w:eastAsia="仿宋" w:cs="仿宋"/>
                <w:sz w:val="28"/>
                <w:szCs w:val="28"/>
              </w:rPr>
              <w:t>在实施过程中，根据相关规定，由</w:t>
            </w:r>
            <w:r>
              <w:rPr>
                <w:rFonts w:hint="eastAsia" w:ascii="仿宋" w:hAnsi="仿宋" w:eastAsia="仿宋" w:cs="仿宋"/>
                <w:sz w:val="28"/>
                <w:szCs w:val="28"/>
                <w:lang w:val="en-US" w:eastAsia="zh-CN"/>
              </w:rPr>
              <w:t>项目部门负责人</w:t>
            </w:r>
            <w:r>
              <w:rPr>
                <w:rFonts w:hint="eastAsia" w:ascii="仿宋" w:hAnsi="仿宋" w:eastAsia="仿宋" w:cs="仿宋"/>
                <w:sz w:val="28"/>
                <w:szCs w:val="28"/>
              </w:rPr>
              <w:t>进行跟进监管</w:t>
            </w:r>
            <w:r>
              <w:rPr>
                <w:rFonts w:hint="eastAsia" w:ascii="仿宋" w:hAnsi="仿宋" w:eastAsia="仿宋" w:cs="仿宋"/>
                <w:sz w:val="28"/>
                <w:szCs w:val="28"/>
                <w:lang w:eastAsia="zh-CN"/>
              </w:rPr>
              <w:t>；</w:t>
            </w:r>
            <w:r>
              <w:rPr>
                <w:rFonts w:hint="eastAsia" w:ascii="仿宋" w:hAnsi="仿宋" w:eastAsia="仿宋" w:cs="仿宋"/>
                <w:sz w:val="28"/>
                <w:szCs w:val="28"/>
              </w:rPr>
              <w:t>项目完成后，由实施</w:t>
            </w:r>
            <w:r>
              <w:rPr>
                <w:rFonts w:hint="eastAsia" w:ascii="仿宋" w:hAnsi="仿宋" w:eastAsia="仿宋" w:cs="仿宋"/>
                <w:sz w:val="28"/>
                <w:szCs w:val="28"/>
                <w:lang w:val="en-US" w:eastAsia="zh-CN"/>
              </w:rPr>
              <w:t>部门</w:t>
            </w:r>
            <w:r>
              <w:rPr>
                <w:rFonts w:hint="eastAsia" w:ascii="仿宋" w:hAnsi="仿宋" w:eastAsia="仿宋" w:cs="仿宋"/>
                <w:sz w:val="28"/>
                <w:szCs w:val="28"/>
              </w:rPr>
              <w:t>向局</w:t>
            </w:r>
            <w:r>
              <w:rPr>
                <w:rFonts w:hint="eastAsia" w:ascii="仿宋" w:hAnsi="仿宋" w:eastAsia="仿宋" w:cs="仿宋"/>
                <w:sz w:val="28"/>
                <w:szCs w:val="28"/>
                <w:lang w:val="en-US" w:eastAsia="zh-CN"/>
              </w:rPr>
              <w:t>机关</w:t>
            </w:r>
            <w:r>
              <w:rPr>
                <w:rFonts w:hint="eastAsia" w:ascii="仿宋" w:hAnsi="仿宋" w:eastAsia="仿宋" w:cs="仿宋"/>
                <w:sz w:val="28"/>
                <w:szCs w:val="28"/>
              </w:rPr>
              <w:t>提交经费使用申请书面报告和项目决算，书面报告内容包括申报理由</w:t>
            </w:r>
            <w:r>
              <w:rPr>
                <w:rFonts w:hint="eastAsia" w:ascii="仿宋" w:hAnsi="仿宋" w:eastAsia="仿宋" w:cs="仿宋"/>
                <w:sz w:val="28"/>
                <w:szCs w:val="28"/>
                <w:lang w:eastAsia="zh-CN"/>
              </w:rPr>
              <w:t>、</w:t>
            </w:r>
            <w:r>
              <w:rPr>
                <w:rFonts w:hint="eastAsia" w:ascii="仿宋" w:hAnsi="仿宋" w:eastAsia="仿宋" w:cs="仿宋"/>
                <w:sz w:val="28"/>
                <w:szCs w:val="28"/>
              </w:rPr>
              <w:t>依据、项目实施效果等</w:t>
            </w:r>
            <w:r>
              <w:rPr>
                <w:rFonts w:hint="eastAsia" w:ascii="仿宋" w:hAnsi="仿宋" w:eastAsia="仿宋" w:cs="仿宋"/>
                <w:sz w:val="28"/>
                <w:szCs w:val="28"/>
                <w:lang w:eastAsia="zh-CN"/>
              </w:rPr>
              <w:t>，</w:t>
            </w:r>
            <w:r>
              <w:rPr>
                <w:rFonts w:hint="eastAsia" w:ascii="仿宋" w:hAnsi="仿宋" w:eastAsia="仿宋" w:cs="仿宋"/>
                <w:sz w:val="28"/>
                <w:szCs w:val="28"/>
              </w:rPr>
              <w:t>经</w:t>
            </w:r>
            <w:r>
              <w:rPr>
                <w:rFonts w:hint="eastAsia" w:ascii="仿宋" w:hAnsi="仿宋" w:eastAsia="仿宋" w:cs="仿宋"/>
                <w:sz w:val="28"/>
                <w:szCs w:val="28"/>
                <w:lang w:val="en-US" w:eastAsia="zh-CN"/>
              </w:rPr>
              <w:t>报局分管领导、</w:t>
            </w:r>
            <w:r>
              <w:rPr>
                <w:rFonts w:hint="eastAsia" w:ascii="仿宋" w:hAnsi="仿宋" w:eastAsia="仿宋" w:cs="仿宋"/>
                <w:sz w:val="28"/>
                <w:szCs w:val="28"/>
              </w:rPr>
              <w:t>分管</w:t>
            </w:r>
            <w:r>
              <w:rPr>
                <w:rFonts w:hint="eastAsia" w:ascii="仿宋" w:hAnsi="仿宋" w:eastAsia="仿宋" w:cs="仿宋"/>
                <w:sz w:val="28"/>
                <w:szCs w:val="28"/>
                <w:lang w:eastAsia="zh-CN"/>
              </w:rPr>
              <w:t>财务领导</w:t>
            </w:r>
            <w:r>
              <w:rPr>
                <w:rFonts w:hint="eastAsia" w:ascii="仿宋" w:hAnsi="仿宋" w:eastAsia="仿宋" w:cs="仿宋"/>
                <w:sz w:val="28"/>
                <w:szCs w:val="28"/>
              </w:rPr>
              <w:t>审核签署意见</w:t>
            </w:r>
            <w:r>
              <w:rPr>
                <w:rFonts w:hint="eastAsia" w:ascii="仿宋" w:hAnsi="仿宋" w:eastAsia="仿宋" w:cs="仿宋"/>
                <w:sz w:val="28"/>
                <w:szCs w:val="28"/>
                <w:lang w:val="en-US" w:eastAsia="zh-CN"/>
              </w:rPr>
              <w:t>后</w:t>
            </w:r>
            <w:r>
              <w:rPr>
                <w:rFonts w:hint="eastAsia" w:ascii="仿宋" w:hAnsi="仿宋" w:eastAsia="仿宋" w:cs="仿宋"/>
                <w:sz w:val="28"/>
                <w:szCs w:val="28"/>
              </w:rPr>
              <w:t>，报局</w:t>
            </w:r>
            <w:r>
              <w:rPr>
                <w:rFonts w:hint="eastAsia" w:ascii="仿宋" w:hAnsi="仿宋" w:eastAsia="仿宋" w:cs="仿宋"/>
                <w:sz w:val="28"/>
                <w:szCs w:val="28"/>
                <w:lang w:val="en-US" w:eastAsia="zh-CN"/>
              </w:rPr>
              <w:t>长</w:t>
            </w:r>
            <w:r>
              <w:rPr>
                <w:rFonts w:hint="eastAsia" w:ascii="仿宋" w:hAnsi="仿宋" w:eastAsia="仿宋" w:cs="仿宋"/>
                <w:sz w:val="28"/>
                <w:szCs w:val="28"/>
              </w:rPr>
              <w:t>审批。</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lang w:val="en-US" w:eastAsia="zh-CN"/>
              </w:rPr>
              <w:t>四、</w:t>
            </w:r>
            <w:r>
              <w:rPr>
                <w:rFonts w:hint="eastAsia" w:ascii="仿宋" w:hAnsi="仿宋" w:eastAsia="仿宋" w:cs="仿宋"/>
                <w:b/>
                <w:bCs/>
                <w:sz w:val="28"/>
                <w:szCs w:val="28"/>
              </w:rPr>
              <w:t>部门（单位）整体支出绩效情况</w:t>
            </w:r>
          </w:p>
          <w:p>
            <w:pPr>
              <w:spacing w:line="520" w:lineRule="exact"/>
              <w:ind w:firstLine="562" w:firstLineChars="200"/>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（一）城市管理进入新常态。</w:t>
            </w:r>
            <w:r>
              <w:rPr>
                <w:rFonts w:hint="eastAsia" w:ascii="仿宋" w:hAnsi="仿宋" w:eastAsia="仿宋" w:cs="仿宋"/>
                <w:sz w:val="28"/>
                <w:szCs w:val="28"/>
                <w:lang w:val="en-US" w:eastAsia="zh-CN"/>
              </w:rPr>
              <w:t>依托网格化管理推进精细化维护作业，确保省、市重大活动、文明创建期间市容环境秩序保障有力。一是市容环卫作业更加精细。新购置雾炮车1台，助力大气污染整治。新购置垃圾转运车辆一台，全区转运车辆达到8台，全年转运生活垃圾4.3万吨，实现了城乡生活垃圾日产日清，无害化处理率达100%。坚持周末全天候、全覆盖清洗作业模式</w:t>
            </w:r>
            <w:r>
              <w:rPr>
                <w:rFonts w:hint="eastAsia" w:ascii="仿宋" w:hAnsi="仿宋" w:eastAsia="仿宋" w:cs="仿宋"/>
                <w:sz w:val="28"/>
                <w:szCs w:val="28"/>
              </w:rPr>
              <w:t>，</w:t>
            </w:r>
            <w:r>
              <w:rPr>
                <w:rFonts w:hint="eastAsia" w:ascii="仿宋" w:hAnsi="仿宋" w:eastAsia="仿宋" w:cs="仿宋"/>
                <w:sz w:val="28"/>
                <w:szCs w:val="28"/>
                <w:lang w:val="en-US" w:eastAsia="zh-CN"/>
              </w:rPr>
              <w:t>主城区</w:t>
            </w:r>
            <w:r>
              <w:rPr>
                <w:rFonts w:hint="eastAsia" w:ascii="仿宋" w:hAnsi="仿宋" w:eastAsia="仿宋" w:cs="仿宋"/>
                <w:sz w:val="28"/>
                <w:szCs w:val="28"/>
              </w:rPr>
              <w:t>116万平方米保洁区域</w:t>
            </w:r>
            <w:r>
              <w:rPr>
                <w:rFonts w:hint="eastAsia" w:ascii="仿宋" w:hAnsi="仿宋" w:eastAsia="仿宋" w:cs="仿宋"/>
                <w:sz w:val="28"/>
                <w:szCs w:val="28"/>
                <w:lang w:val="en-US" w:eastAsia="zh-CN"/>
              </w:rPr>
              <w:t>清扫保洁实现100%全覆盖，</w:t>
            </w:r>
            <w:r>
              <w:rPr>
                <w:rFonts w:hint="eastAsia" w:ascii="仿宋" w:hAnsi="仿宋" w:eastAsia="仿宋" w:cs="仿宋"/>
                <w:sz w:val="28"/>
                <w:szCs w:val="28"/>
              </w:rPr>
              <w:t>营造了干净、整洁的城市环境</w:t>
            </w:r>
            <w:r>
              <w:rPr>
                <w:rFonts w:hint="eastAsia" w:ascii="仿宋" w:hAnsi="仿宋" w:eastAsia="仿宋" w:cs="仿宋"/>
                <w:sz w:val="28"/>
                <w:szCs w:val="28"/>
                <w:lang w:val="en-US" w:eastAsia="zh-CN"/>
              </w:rPr>
              <w:t>。在今年的“五区”考评中，君山有两个月排名全市第一。二是市政设施维护更加规范。修补破损、下沉路面 10063 平方米，更换、修复雨水污水井盖共153套，整治路面积水点55处，城区道路基本完好，市政公共设施维护及时、设施完整、美观大方。三是绿化亮化更加优质。补栽树木500余株，维修路灯850余盏。完成了旅游路1160株行道树进行了修剪，形成了市级修剪规范、层次分明的绿化景观示范路。四是项目建设更加高效。投资3389万的市级督办项目旅游路地下管网项目稳步推进，已完成 7800 米雨水管、1500米污水管、4100米天然气管的建设。区级重点民生实事—大岳高速君山城区桥下空间保护性建设工程投资184万，建成了6412.3平方米的城区停车场，于今年6月份投入使用。民旺路生态停车场已动工兴建，区人民医院停车场已完成立项等前期工作，着力解决城区停车难问题。</w:t>
            </w:r>
          </w:p>
          <w:p>
            <w:pPr>
              <w:spacing w:line="520" w:lineRule="exact"/>
              <w:ind w:firstLine="562" w:firstLineChars="200"/>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（二）城管执法实现新突破。</w:t>
            </w:r>
            <w:r>
              <w:rPr>
                <w:rFonts w:hint="eastAsia" w:ascii="仿宋" w:hAnsi="仿宋" w:eastAsia="仿宋" w:cs="仿宋"/>
                <w:sz w:val="28"/>
                <w:szCs w:val="28"/>
                <w:lang w:val="en-US" w:eastAsia="zh-CN"/>
              </w:rPr>
              <w:t>聚焦城市斑点乱象，坚持执法刚柔并济，由突击式向常态化纵深推进。一是推进联合执法行动。联合</w:t>
            </w:r>
            <w:r>
              <w:rPr>
                <w:rFonts w:hint="eastAsia" w:ascii="仿宋" w:hAnsi="仿宋" w:eastAsia="仿宋" w:cs="仿宋"/>
                <w:sz w:val="28"/>
                <w:szCs w:val="28"/>
              </w:rPr>
              <w:t>区市场监督局、区交通运输局、区农业农村局、君山交警大队、柳林洲办事处</w:t>
            </w:r>
            <w:r>
              <w:rPr>
                <w:rFonts w:hint="eastAsia" w:ascii="仿宋" w:hAnsi="仿宋" w:eastAsia="仿宋" w:cs="仿宋"/>
                <w:sz w:val="28"/>
                <w:szCs w:val="28"/>
                <w:lang w:eastAsia="zh-CN"/>
              </w:rPr>
              <w:t>等单位开展联合执法</w:t>
            </w:r>
            <w:r>
              <w:rPr>
                <w:rFonts w:hint="eastAsia" w:ascii="仿宋" w:hAnsi="仿宋" w:eastAsia="仿宋" w:cs="仿宋"/>
                <w:sz w:val="28"/>
                <w:szCs w:val="28"/>
                <w:lang w:val="en-US" w:eastAsia="zh-CN"/>
              </w:rPr>
              <w:t>行动5次，</w:t>
            </w:r>
            <w:r>
              <w:rPr>
                <w:rFonts w:hint="eastAsia" w:ascii="仿宋" w:hAnsi="仿宋" w:eastAsia="仿宋" w:cs="仿宋"/>
                <w:sz w:val="28"/>
                <w:szCs w:val="28"/>
              </w:rPr>
              <w:t>推进协作互助、优势互补、信息互通</w:t>
            </w:r>
            <w:r>
              <w:rPr>
                <w:rFonts w:hint="eastAsia" w:ascii="仿宋" w:hAnsi="仿宋" w:eastAsia="仿宋" w:cs="仿宋"/>
                <w:sz w:val="28"/>
                <w:szCs w:val="28"/>
                <w:lang w:val="en-US" w:eastAsia="zh-CN"/>
              </w:rPr>
              <w:t>。二加大重点领域执法。</w:t>
            </w:r>
            <w:r>
              <w:rPr>
                <w:rFonts w:hint="eastAsia" w:ascii="仿宋" w:hAnsi="仿宋" w:eastAsia="仿宋" w:cs="仿宋"/>
                <w:sz w:val="28"/>
                <w:szCs w:val="28"/>
              </w:rPr>
              <w:t>下达《道路扬尘污染问题督办单》</w:t>
            </w:r>
            <w:r>
              <w:rPr>
                <w:rFonts w:hint="eastAsia" w:ascii="仿宋" w:hAnsi="仿宋" w:eastAsia="仿宋" w:cs="仿宋"/>
                <w:sz w:val="28"/>
                <w:szCs w:val="28"/>
                <w:lang w:val="en-US" w:eastAsia="zh-CN"/>
              </w:rPr>
              <w:t>34</w:t>
            </w:r>
            <w:r>
              <w:rPr>
                <w:rFonts w:hint="eastAsia" w:ascii="仿宋" w:hAnsi="仿宋" w:eastAsia="仿宋" w:cs="仿宋"/>
                <w:sz w:val="28"/>
                <w:szCs w:val="28"/>
              </w:rPr>
              <w:t>份，行政处罚通知15份，</w:t>
            </w:r>
            <w:r>
              <w:rPr>
                <w:rFonts w:hint="eastAsia" w:ascii="仿宋" w:hAnsi="仿宋" w:eastAsia="仿宋" w:cs="仿宋"/>
                <w:sz w:val="28"/>
                <w:szCs w:val="28"/>
                <w:lang w:val="en-US" w:eastAsia="zh-CN"/>
              </w:rPr>
              <w:t>关停</w:t>
            </w:r>
            <w:r>
              <w:rPr>
                <w:rFonts w:hint="eastAsia" w:ascii="仿宋" w:hAnsi="仿宋" w:eastAsia="仿宋" w:cs="仿宋"/>
                <w:sz w:val="28"/>
                <w:szCs w:val="28"/>
              </w:rPr>
              <w:t>资质不全的渣土公司20多家</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行政处罚</w:t>
            </w:r>
            <w:r>
              <w:rPr>
                <w:rFonts w:hint="eastAsia" w:ascii="仿宋" w:hAnsi="仿宋" w:eastAsia="仿宋" w:cs="仿宋"/>
                <w:sz w:val="28"/>
                <w:szCs w:val="28"/>
              </w:rPr>
              <w:t>4.</w:t>
            </w:r>
            <w:r>
              <w:rPr>
                <w:rFonts w:hint="eastAsia" w:ascii="仿宋" w:hAnsi="仿宋" w:eastAsia="仿宋" w:cs="仿宋"/>
                <w:sz w:val="28"/>
                <w:szCs w:val="28"/>
                <w:lang w:val="en-US" w:eastAsia="zh-CN"/>
              </w:rPr>
              <w:t>45</w:t>
            </w:r>
            <w:r>
              <w:rPr>
                <w:rFonts w:hint="eastAsia" w:ascii="仿宋" w:hAnsi="仿宋" w:eastAsia="仿宋" w:cs="仿宋"/>
                <w:sz w:val="28"/>
                <w:szCs w:val="28"/>
              </w:rPr>
              <w:t>万元</w:t>
            </w:r>
            <w:r>
              <w:rPr>
                <w:rFonts w:hint="eastAsia" w:ascii="仿宋" w:hAnsi="仿宋" w:eastAsia="仿宋" w:cs="仿宋"/>
                <w:sz w:val="28"/>
                <w:szCs w:val="28"/>
                <w:lang w:eastAsia="zh-CN"/>
              </w:rPr>
              <w:t>；</w:t>
            </w:r>
            <w:r>
              <w:rPr>
                <w:rFonts w:hint="eastAsia" w:ascii="仿宋" w:hAnsi="仿宋" w:eastAsia="仿宋" w:cs="仿宋"/>
                <w:sz w:val="28"/>
                <w:szCs w:val="28"/>
              </w:rPr>
              <w:t>完成马路市场、出店经营专项整治10次</w:t>
            </w:r>
            <w:r>
              <w:rPr>
                <w:rFonts w:hint="eastAsia" w:ascii="仿宋" w:hAnsi="仿宋" w:eastAsia="仿宋" w:cs="仿宋"/>
                <w:sz w:val="28"/>
                <w:szCs w:val="28"/>
                <w:lang w:eastAsia="zh-CN"/>
              </w:rPr>
              <w:t>，</w:t>
            </w:r>
            <w:r>
              <w:rPr>
                <w:rFonts w:hint="eastAsia" w:ascii="仿宋" w:hAnsi="仿宋" w:eastAsia="仿宋" w:cs="仿宋"/>
                <w:sz w:val="28"/>
                <w:szCs w:val="28"/>
              </w:rPr>
              <w:t>劝导游摊小贩990多次，整治出店经营143次，下发整改书</w:t>
            </w:r>
            <w:r>
              <w:rPr>
                <w:rFonts w:hint="eastAsia" w:ascii="仿宋" w:hAnsi="仿宋" w:eastAsia="仿宋" w:cs="仿宋"/>
                <w:sz w:val="28"/>
                <w:szCs w:val="28"/>
                <w:lang w:val="en-US" w:eastAsia="zh-CN"/>
              </w:rPr>
              <w:t>63</w:t>
            </w:r>
            <w:r>
              <w:rPr>
                <w:rFonts w:hint="eastAsia" w:ascii="仿宋" w:hAnsi="仿宋" w:eastAsia="仿宋" w:cs="仿宋"/>
                <w:sz w:val="28"/>
                <w:szCs w:val="28"/>
              </w:rPr>
              <w:t>次，签订夜市烧烤无油烟承诺书17份</w:t>
            </w:r>
            <w:r>
              <w:rPr>
                <w:rFonts w:hint="eastAsia" w:ascii="仿宋" w:hAnsi="仿宋" w:eastAsia="仿宋" w:cs="仿宋"/>
                <w:sz w:val="28"/>
                <w:szCs w:val="28"/>
                <w:lang w:val="en-US" w:eastAsia="zh-CN"/>
              </w:rPr>
              <w:t>；</w:t>
            </w:r>
            <w:r>
              <w:rPr>
                <w:rFonts w:hint="eastAsia" w:ascii="仿宋" w:hAnsi="仿宋" w:eastAsia="仿宋" w:cs="仿宋"/>
                <w:sz w:val="28"/>
                <w:szCs w:val="28"/>
                <w:lang w:eastAsia="zh-CN"/>
              </w:rPr>
              <w:t>深入开展禁炮执法行动，建立中心城区每日炮情反馈机制，全年出动宣传车辆410次，树立禁炮标牌100多块，发放“致市民的一封信”16000余份，签订《禁炮承诺书》500余份，制止燃放行为200多起，前三季度禁炮工作排名全市第一，有望获得全市禁炮工作先进单位。三是柔性执法提升温度。</w:t>
            </w:r>
            <w:r>
              <w:rPr>
                <w:rFonts w:hint="eastAsia" w:ascii="仿宋" w:hAnsi="仿宋" w:eastAsia="仿宋" w:cs="仿宋"/>
                <w:sz w:val="28"/>
                <w:szCs w:val="28"/>
                <w:lang w:val="en-US" w:eastAsia="zh-CN"/>
              </w:rPr>
              <w:t>对商家经营和小微企业复工复产中违反城市管理相关法规的行为，视情节轻重，对社会影响不大、造成后果不重的行为以宣传说服为主，对市民投诉强烈、造成后果严重的行为，加强教育并督促整改。</w:t>
            </w:r>
          </w:p>
          <w:p>
            <w:pPr>
              <w:spacing w:line="520" w:lineRule="exact"/>
              <w:ind w:firstLine="562" w:firstLineChars="200"/>
              <w:rPr>
                <w:rFonts w:hint="eastAsia" w:ascii="仿宋" w:hAnsi="仿宋" w:eastAsia="仿宋" w:cs="仿宋"/>
                <w:sz w:val="28"/>
                <w:szCs w:val="28"/>
                <w:lang w:val="en-US" w:eastAsia="zh-CN"/>
              </w:rPr>
            </w:pPr>
            <w:r>
              <w:rPr>
                <w:rFonts w:hint="eastAsia" w:ascii="仿宋" w:hAnsi="仿宋" w:eastAsia="仿宋" w:cs="仿宋"/>
                <w:b/>
                <w:bCs/>
                <w:sz w:val="28"/>
                <w:szCs w:val="28"/>
                <w:lang w:eastAsia="zh-CN"/>
              </w:rPr>
              <w:t>（三）优化民生取得新成效。</w:t>
            </w:r>
            <w:r>
              <w:rPr>
                <w:rFonts w:hint="eastAsia" w:ascii="仿宋" w:hAnsi="仿宋" w:eastAsia="仿宋" w:cs="仿宋"/>
                <w:sz w:val="28"/>
                <w:szCs w:val="28"/>
                <w:lang w:eastAsia="zh-CN"/>
              </w:rPr>
              <w:t>着力改善人居环境，在服务优化上、维护安全稳定上下功夫。一是</w:t>
            </w:r>
            <w:r>
              <w:rPr>
                <w:rFonts w:hint="eastAsia" w:ascii="仿宋" w:hAnsi="仿宋" w:eastAsia="仿宋" w:cs="仿宋"/>
                <w:sz w:val="28"/>
                <w:szCs w:val="28"/>
                <w:lang w:val="en-US" w:eastAsia="zh-CN"/>
              </w:rPr>
              <w:t>推进城区生活垃圾分类。践行绿色发展理念，</w:t>
            </w:r>
            <w:r>
              <w:rPr>
                <w:rFonts w:hint="eastAsia" w:ascii="仿宋" w:hAnsi="仿宋" w:eastAsia="仿宋" w:cs="仿宋"/>
                <w:sz w:val="28"/>
                <w:szCs w:val="28"/>
              </w:rPr>
              <w:t>印发了《</w:t>
            </w:r>
            <w:r>
              <w:rPr>
                <w:rFonts w:hint="eastAsia" w:ascii="仿宋" w:hAnsi="仿宋" w:eastAsia="仿宋" w:cs="仿宋"/>
                <w:sz w:val="28"/>
                <w:szCs w:val="28"/>
                <w:lang w:eastAsia="zh-CN"/>
              </w:rPr>
              <w:t>岳阳市君山区</w:t>
            </w:r>
            <w:r>
              <w:rPr>
                <w:rFonts w:hint="eastAsia" w:ascii="仿宋" w:hAnsi="仿宋" w:eastAsia="仿宋" w:cs="仿宋"/>
                <w:sz w:val="28"/>
                <w:szCs w:val="28"/>
                <w:lang w:val="en-US" w:eastAsia="zh-CN"/>
              </w:rPr>
              <w:t>2020年城区</w:t>
            </w:r>
            <w:r>
              <w:rPr>
                <w:rFonts w:hint="eastAsia" w:ascii="仿宋" w:hAnsi="仿宋" w:eastAsia="仿宋" w:cs="仿宋"/>
                <w:sz w:val="28"/>
                <w:szCs w:val="28"/>
              </w:rPr>
              <w:t>生活垃圾分类工作实施方案》</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初步建立了“政府统筹、部门协同、示范引导、全民参与”体系，创建1个示范街道、3个示范小区和一批党政机关、学校、医院等示范机关（单位），</w:t>
            </w:r>
            <w:r>
              <w:rPr>
                <w:rFonts w:hint="eastAsia" w:ascii="仿宋" w:hAnsi="仿宋" w:eastAsia="仿宋" w:cs="仿宋"/>
                <w:sz w:val="28"/>
                <w:szCs w:val="28"/>
                <w:lang w:eastAsia="zh-CN"/>
              </w:rPr>
              <w:t>试点街道柳林洲街道投放四分类垃圾桶</w:t>
            </w:r>
            <w:r>
              <w:rPr>
                <w:rFonts w:hint="eastAsia" w:ascii="仿宋" w:hAnsi="仿宋" w:eastAsia="仿宋" w:cs="仿宋"/>
                <w:sz w:val="28"/>
                <w:szCs w:val="28"/>
                <w:lang w:val="en-US" w:eastAsia="zh-CN"/>
              </w:rPr>
              <w:t>200套、二分类72套，公共机构投放四分类垃圾桶21套、二分类1200套。</w:t>
            </w:r>
            <w:r>
              <w:rPr>
                <w:rFonts w:hint="eastAsia" w:ascii="仿宋" w:hAnsi="仿宋" w:eastAsia="仿宋" w:cs="仿宋"/>
                <w:sz w:val="28"/>
                <w:szCs w:val="28"/>
                <w:lang w:eastAsia="zh-CN"/>
              </w:rPr>
              <w:t>二是积极优化营商环境。以“最多跑一次”为目标，进一步理清部门职责，深化机制改革，提高办事效率，作为获得用气指标牵头单位，将任务分解到区直相关责任的单位、局属各股室、各二级机构，责任到人，推动工作落实。</w:t>
            </w:r>
            <w:r>
              <w:rPr>
                <w:rFonts w:hint="eastAsia" w:ascii="仿宋" w:hAnsi="仿宋" w:eastAsia="仿宋" w:cs="仿宋"/>
                <w:sz w:val="28"/>
                <w:szCs w:val="28"/>
                <w:lang w:val="en-US" w:eastAsia="zh-CN"/>
              </w:rPr>
              <w:t>三是筑牢安全生产底线。认真贯彻落实习近平总书记“从根本消除安全隐患”的重要指示精神，制定《君山区城市燃气突发事件应急处置预案》、《君山区瓶装液化石油安全专项整治三年行动实施方案》，吸取汨罗11.18燃气泄露爆炸事故教训，扎实开展燃气安全隐患排查，</w:t>
            </w:r>
            <w:r>
              <w:rPr>
                <w:rFonts w:hint="eastAsia" w:ascii="仿宋" w:hAnsi="仿宋" w:eastAsia="仿宋" w:cs="仿宋"/>
                <w:sz w:val="28"/>
                <w:szCs w:val="28"/>
                <w:lang w:eastAsia="zh-CN"/>
              </w:rPr>
              <w:t>严厉查处非法经营、非法充装和非法储存、倒灌、分装、销售瓶装液化石油气等行为</w:t>
            </w:r>
            <w:r>
              <w:rPr>
                <w:rFonts w:hint="eastAsia" w:ascii="仿宋" w:hAnsi="仿宋" w:eastAsia="仿宋" w:cs="仿宋"/>
                <w:sz w:val="28"/>
                <w:szCs w:val="28"/>
                <w:lang w:val="en-US" w:eastAsia="zh-CN"/>
              </w:rPr>
              <w:t>15</w:t>
            </w:r>
            <w:r>
              <w:rPr>
                <w:rFonts w:hint="eastAsia" w:ascii="仿宋" w:hAnsi="仿宋" w:eastAsia="仿宋" w:cs="仿宋"/>
                <w:sz w:val="28"/>
                <w:szCs w:val="28"/>
                <w:lang w:eastAsia="zh-CN"/>
              </w:rPr>
              <w:t>起，今年全区无一起燃气安全事故</w:t>
            </w:r>
            <w:r>
              <w:rPr>
                <w:rFonts w:hint="eastAsia" w:ascii="仿宋" w:hAnsi="仿宋" w:eastAsia="仿宋" w:cs="仿宋"/>
                <w:sz w:val="28"/>
                <w:szCs w:val="28"/>
                <w:lang w:val="en-US" w:eastAsia="zh-CN"/>
              </w:rPr>
              <w:t>。</w:t>
            </w:r>
          </w:p>
          <w:p>
            <w:pPr>
              <w:spacing w:line="520" w:lineRule="exact"/>
              <w:ind w:firstLine="562" w:firstLineChars="200"/>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（四）为民服务展示新形象。</w:t>
            </w:r>
            <w:r>
              <w:rPr>
                <w:rFonts w:hint="eastAsia" w:ascii="仿宋" w:hAnsi="仿宋" w:eastAsia="仿宋" w:cs="仿宋"/>
                <w:sz w:val="28"/>
                <w:szCs w:val="28"/>
                <w:lang w:val="en-US" w:eastAsia="zh-CN"/>
              </w:rPr>
              <w:t>坚定发展信心不动摇，把围绕中心服务大局的工作落到实处。一是守牢疫情防控安全线。以最快速度进入战时状态，</w:t>
            </w:r>
            <w:r>
              <w:rPr>
                <w:rFonts w:hint="eastAsia" w:ascii="仿宋" w:hAnsi="仿宋" w:eastAsia="仿宋" w:cs="仿宋"/>
                <w:sz w:val="28"/>
                <w:szCs w:val="28"/>
              </w:rPr>
              <w:t>调集渣土运输车辆、特种作业车辆助力区一人民医院改建成定点治疗医院</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组织党员干部</w:t>
            </w:r>
            <w:r>
              <w:rPr>
                <w:rFonts w:hint="eastAsia" w:ascii="仿宋" w:hAnsi="仿宋" w:eastAsia="仿宋" w:cs="仿宋"/>
                <w:sz w:val="28"/>
                <w:szCs w:val="28"/>
              </w:rPr>
              <w:t>奋战两个通宵，</w:t>
            </w:r>
            <w:r>
              <w:rPr>
                <w:rFonts w:hint="eastAsia" w:ascii="仿宋" w:hAnsi="仿宋" w:eastAsia="仿宋" w:cs="仿宋"/>
                <w:sz w:val="28"/>
                <w:szCs w:val="28"/>
                <w:lang w:val="en-US" w:eastAsia="zh-CN"/>
              </w:rPr>
              <w:t>调配</w:t>
            </w:r>
            <w:r>
              <w:rPr>
                <w:rFonts w:hint="eastAsia" w:ascii="仿宋" w:hAnsi="仿宋" w:eastAsia="仿宋" w:cs="仿宋"/>
                <w:sz w:val="28"/>
                <w:szCs w:val="28"/>
              </w:rPr>
              <w:t>挡板封锁道路交通，</w:t>
            </w:r>
            <w:r>
              <w:rPr>
                <w:rFonts w:hint="eastAsia" w:ascii="仿宋" w:hAnsi="仿宋" w:eastAsia="仿宋" w:cs="仿宋"/>
                <w:sz w:val="28"/>
                <w:szCs w:val="28"/>
                <w:lang w:val="en-US" w:eastAsia="zh-CN"/>
              </w:rPr>
              <w:t>连续45天日夜坚守6个交通卡口和坪塅小区；监督检查各气站、销售网点，保障了燃气正常供应；</w:t>
            </w:r>
            <w:r>
              <w:rPr>
                <w:rFonts w:hint="eastAsia" w:ascii="仿宋" w:hAnsi="仿宋" w:eastAsia="仿宋" w:cs="仿宋"/>
                <w:sz w:val="28"/>
                <w:szCs w:val="28"/>
              </w:rPr>
              <w:t>紧急投放50个废弃口罩专用收集桶</w:t>
            </w:r>
            <w:r>
              <w:rPr>
                <w:rFonts w:hint="eastAsia" w:ascii="仿宋" w:hAnsi="仿宋" w:eastAsia="仿宋" w:cs="仿宋"/>
                <w:sz w:val="28"/>
                <w:szCs w:val="28"/>
                <w:lang w:eastAsia="zh-CN"/>
              </w:rPr>
              <w:t>，</w:t>
            </w:r>
            <w:r>
              <w:rPr>
                <w:rFonts w:hint="eastAsia" w:ascii="仿宋" w:hAnsi="仿宋" w:eastAsia="仿宋" w:cs="仿宋"/>
                <w:sz w:val="28"/>
                <w:szCs w:val="28"/>
              </w:rPr>
              <w:t>全区</w:t>
            </w:r>
            <w:r>
              <w:rPr>
                <w:rFonts w:hint="eastAsia" w:ascii="仿宋" w:hAnsi="仿宋" w:eastAsia="仿宋" w:cs="仿宋"/>
                <w:sz w:val="28"/>
                <w:szCs w:val="28"/>
                <w:lang w:val="en-US" w:eastAsia="zh-CN"/>
              </w:rPr>
              <w:t>每天150吨</w:t>
            </w:r>
            <w:r>
              <w:rPr>
                <w:rFonts w:hint="eastAsia" w:ascii="仿宋" w:hAnsi="仿宋" w:eastAsia="仿宋" w:cs="仿宋"/>
                <w:sz w:val="28"/>
                <w:szCs w:val="28"/>
              </w:rPr>
              <w:t>生活垃圾和废旧口罩日产日清</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用耐心、细心、巧心做好特殊时期市容环境治理工作</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二是充当防汛排涝主力军。4位党组成员先后上堤坚守防汛一线，未雨绸缪，提前制订《中心城区排涝应急预案》，组建应急突击队。7月7日晚强降雨，100余名城管队员、环卫工人、市政工作人员迅速出动，紧急排涝，疏通堵塞排水道5000米，清理泽涝面积75000平方米，抢排40多处低洼区域的积水，排除隐患20余处，确保了道路通畅，保障了居民的生命财产安全。三是全力为民服务解难题。服务我区中心工作大局，高质高效办理领导批示件，确保事事有回音、件件有落实。主动公开政务信息，全年受理12345热线工单441件,办结率、答复率均达100%，每季度排名均为A类，未发生因信息处置不当而造成的较大负面影响事件。</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lang w:val="en-US" w:eastAsia="zh-CN"/>
              </w:rPr>
              <w:t>五、</w:t>
            </w:r>
            <w:r>
              <w:rPr>
                <w:rFonts w:hint="eastAsia" w:ascii="仿宋" w:hAnsi="仿宋" w:eastAsia="仿宋" w:cs="仿宋"/>
                <w:b/>
                <w:bCs/>
                <w:sz w:val="28"/>
                <w:szCs w:val="28"/>
              </w:rPr>
              <w:t>存在的主要问题</w:t>
            </w:r>
          </w:p>
          <w:p>
            <w:pPr>
              <w:spacing w:line="52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预算项目与实际项目支出有差异。市级督办项目旅游路地下管网项目，区级重点民生实事—大岳高速君山城区桥下空间保护性建设项目。民旺路生态停车场项目，区人民医院停车场项目不在年初预算范围内，财政没有安排预算，但又是必须支出的。</w:t>
            </w:r>
          </w:p>
          <w:p>
            <w:pPr>
              <w:spacing w:line="52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rPr>
              <w:t>六、改进措施和有关建议</w:t>
            </w:r>
          </w:p>
          <w:p>
            <w:pPr>
              <w:spacing w:line="520" w:lineRule="exact"/>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进一步健全和完善财务管理制度及内部控制制度，规范和约束机关财务行为和程序，积极探索在新形势下部门预算、国库集中支付等财政支出改革的特点，不断更新管理思路，在规范财务收支和控制经费增长上，创新管理手段，用新思路、新方法，改进完善财务管理方法。按照财政支出绩效管理的要求，建立科学的财政资金效益考评制度体系，牢固树立行政成本意识，不断提高财政资金使用管理的水平和效率。</w:t>
            </w:r>
          </w:p>
          <w:p>
            <w:pPr>
              <w:rPr>
                <w:rFonts w:eastAsia="楷体_GB2312"/>
                <w:bCs/>
                <w:sz w:val="28"/>
                <w:szCs w:val="28"/>
              </w:rPr>
            </w:pPr>
          </w:p>
        </w:tc>
      </w:tr>
    </w:tbl>
    <w:p>
      <w:pPr>
        <w:rPr>
          <w:rFonts w:hint="eastAsia"/>
        </w:rPr>
      </w:pPr>
      <w:r>
        <w:rPr>
          <w:rFonts w:eastAsia="楷体_GB2312"/>
          <w:bCs/>
          <w:sz w:val="28"/>
          <w:szCs w:val="28"/>
        </w:rPr>
        <w:br w:type="page"/>
      </w:r>
    </w:p>
    <w:p>
      <w:pPr>
        <w:rPr>
          <w:rFonts w:hint="eastAsia" w:ascii="黑体" w:hAnsi="黑体" w:eastAsia="黑体"/>
          <w:sz w:val="32"/>
          <w:szCs w:val="32"/>
        </w:rPr>
      </w:pPr>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8"/>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投  入</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预算配置</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重点支出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预算执行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春节前下达全部专项资金的50%；6月底前所有专项资金指标全部下达完。</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①已制定或具有预算资金管理办法，内部财务管理制度、会计核算制度等管理制度，1分；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②相关管理制度合法、合规、完整，1分；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资金使用</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①支出符合国家财经法规和财务管理制度规定以及有关专项资金管理办法的规定；</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②资金拨付有完整的审批程序和手续；</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③项目支出按规定经过评估论证；</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④支出符合部门预算批复的用途；</w:t>
            </w:r>
          </w:p>
          <w:p>
            <w:pPr>
              <w:widowControl/>
              <w:spacing w:line="240" w:lineRule="exact"/>
              <w:jc w:val="left"/>
              <w:rPr>
                <w:rFonts w:hint="eastAsia" w:ascii="仿宋_GB2312" w:hAnsi="宋体" w:eastAsia="仿宋_GB2312" w:cs="宋体"/>
                <w:spacing w:val="-6"/>
                <w:kern w:val="0"/>
                <w:sz w:val="18"/>
                <w:szCs w:val="18"/>
                <w:lang w:eastAsia="zh-CN"/>
              </w:rPr>
            </w:pPr>
            <w:r>
              <w:rPr>
                <w:rFonts w:hint="eastAsia" w:ascii="仿宋_GB2312" w:hAnsi="宋体" w:eastAsia="仿宋_GB2312" w:cs="宋体"/>
                <w:spacing w:val="-6"/>
                <w:kern w:val="0"/>
                <w:sz w:val="18"/>
                <w:szCs w:val="18"/>
              </w:rPr>
              <w:t>⑤资金使用无截留、挤占、挪用、虚列支出等情况。</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旅游路管网建设项目无年初预算</w:t>
            </w: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①按规定内容公开预决算信息，1分；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②按规定时限公开预决算信息，0.5分；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③基础数据信息和会计信息资料真实，0.5分；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④基础数据信息和会计信息资料完整，0.5分；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政府采购执行率等于100%的，得3分；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5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公务卡刷卡率达50％以上的，得3分。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09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①已制定或具有资产管理制度，且相关资产管理制度合法、合规、完整，2分；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垃圾处理中心资产目前未办理资产移交手续</w:t>
            </w:r>
          </w:p>
        </w:tc>
      </w:tr>
    </w:tbl>
    <w:p/>
    <w:tbl>
      <w:tblPr>
        <w:tblStyle w:val="8"/>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1776"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①资产保存完整；</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②资产配置合理；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③资产处置规范； </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④资产账务管理合规，帐实相符；</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⑤资产有偿使用及处置收入及时足额上缴；</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垃圾处理中心资产目前未办理资产移交手续</w:t>
            </w: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固定资产</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rPr>
            </w:pPr>
            <w:r>
              <w:rPr>
                <w:rFonts w:hint="eastAsia" w:ascii="仿宋_GB2312" w:hAnsi="宋体" w:eastAsia="仿宋_GB2312" w:cs="宋体"/>
                <w:kern w:val="0"/>
                <w:sz w:val="18"/>
                <w:szCs w:val="18"/>
                <w:lang w:val="en-US" w:eastAsia="zh-CN"/>
              </w:rPr>
              <w:t>垃圾处理中心生产厂房及设备闲置</w:t>
            </w: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职责履行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2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58"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9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效  果</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履职效益</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both"/>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本单位项目属公益事业类项目，无明显经济效益</w:t>
            </w:r>
          </w:p>
        </w:tc>
      </w:tr>
      <w:tr>
        <w:tblPrEx>
          <w:tblCellMar>
            <w:top w:w="0" w:type="dxa"/>
            <w:left w:w="108" w:type="dxa"/>
            <w:bottom w:w="0" w:type="dxa"/>
            <w:right w:w="108" w:type="dxa"/>
          </w:tblCellMar>
        </w:tblPrEx>
        <w:trPr>
          <w:trHeight w:val="428"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46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05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pPr>
        <w:spacing w:before="156" w:beforeLines="50"/>
        <w:rPr>
          <w:rFonts w:hint="default"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说明：本表数据与决算数据差异为小数点误差。</w:t>
      </w:r>
      <w:bookmarkStart w:id="0" w:name="_GoBack"/>
      <w:bookmarkEnd w:id="0"/>
    </w:p>
    <w:p>
      <w:pPr>
        <w:pStyle w:val="2"/>
        <w:rPr>
          <w:rFonts w:hint="default" w:eastAsia="仿宋_GB2312"/>
          <w:lang w:val="en-US" w:eastAsia="zh-CN"/>
        </w:rPr>
      </w:pPr>
    </w:p>
    <w:sectPr>
      <w:footerReference r:id="rId5" w:type="default"/>
      <w:footerReference r:id="rId6" w:type="even"/>
      <w:pgSz w:w="11906" w:h="16838"/>
      <w:pgMar w:top="1587" w:right="1588" w:bottom="1474" w:left="1588" w:header="851" w:footer="992" w:gutter="0"/>
      <w:pgBorders>
        <w:top w:val="none" w:sz="0" w:space="0"/>
        <w:left w:val="none" w:sz="0" w:space="0"/>
        <w:bottom w:val="none" w:sz="0" w:space="0"/>
        <w:right w:val="none" w:sz="0" w:space="0"/>
      </w:pgBorders>
      <w:pgNumType w:fmt="decimal" w:start="1"/>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sz w:val="24"/>
      </w:rPr>
    </w:pPr>
  </w:p>
  <w:p>
    <w:pPr>
      <w:tabs>
        <w:tab w:val="left" w:pos="5244"/>
      </w:tabs>
      <w:ind w:right="360" w:firstLine="360"/>
      <w:rPr>
        <w:rFonts w:hint="eastAsia" w:eastAsia="宋体"/>
        <w:lang w:eastAsia="zh-CN"/>
      </w:rPr>
    </w:pPr>
    <w:r>
      <w:rPr>
        <w:rFonts w:hint="eastAsia"/>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end"/>
    </w:r>
  </w:p>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5A6F26"/>
    <w:rsid w:val="021F7ACC"/>
    <w:rsid w:val="039C6CD8"/>
    <w:rsid w:val="04526A08"/>
    <w:rsid w:val="05000B50"/>
    <w:rsid w:val="055A6F26"/>
    <w:rsid w:val="05BD3ABB"/>
    <w:rsid w:val="09950D4D"/>
    <w:rsid w:val="0A507703"/>
    <w:rsid w:val="0D4955C2"/>
    <w:rsid w:val="0D4B21E5"/>
    <w:rsid w:val="0DB17DCE"/>
    <w:rsid w:val="0F3C19DC"/>
    <w:rsid w:val="134907CC"/>
    <w:rsid w:val="140D5FCB"/>
    <w:rsid w:val="15B6682F"/>
    <w:rsid w:val="178B0DF9"/>
    <w:rsid w:val="186F38D5"/>
    <w:rsid w:val="198C2EEC"/>
    <w:rsid w:val="1A6F2DB8"/>
    <w:rsid w:val="1D513EC5"/>
    <w:rsid w:val="1DB831A0"/>
    <w:rsid w:val="1E0B52D7"/>
    <w:rsid w:val="1E441D03"/>
    <w:rsid w:val="1E4E1466"/>
    <w:rsid w:val="1ECE3EBD"/>
    <w:rsid w:val="1F290E1C"/>
    <w:rsid w:val="1FDB75BD"/>
    <w:rsid w:val="20482FD4"/>
    <w:rsid w:val="23752929"/>
    <w:rsid w:val="23931307"/>
    <w:rsid w:val="23C62860"/>
    <w:rsid w:val="23FA01BB"/>
    <w:rsid w:val="24660BC1"/>
    <w:rsid w:val="26315A49"/>
    <w:rsid w:val="28FC074F"/>
    <w:rsid w:val="2A1953A3"/>
    <w:rsid w:val="2A66629F"/>
    <w:rsid w:val="2B185F17"/>
    <w:rsid w:val="2BA70B75"/>
    <w:rsid w:val="2BC07277"/>
    <w:rsid w:val="2C1535F6"/>
    <w:rsid w:val="2D69692C"/>
    <w:rsid w:val="2D9930B0"/>
    <w:rsid w:val="2EE67DDF"/>
    <w:rsid w:val="2F6C19A9"/>
    <w:rsid w:val="31C64031"/>
    <w:rsid w:val="36840E10"/>
    <w:rsid w:val="369E457F"/>
    <w:rsid w:val="37035463"/>
    <w:rsid w:val="380E54A9"/>
    <w:rsid w:val="387A506E"/>
    <w:rsid w:val="391D6E5E"/>
    <w:rsid w:val="392D1F0F"/>
    <w:rsid w:val="39C4528F"/>
    <w:rsid w:val="39EA66A3"/>
    <w:rsid w:val="3A3A1314"/>
    <w:rsid w:val="3ACE7DF9"/>
    <w:rsid w:val="3B1F0A4D"/>
    <w:rsid w:val="3B7E060B"/>
    <w:rsid w:val="3BBB1F39"/>
    <w:rsid w:val="3C091E95"/>
    <w:rsid w:val="3C0C5663"/>
    <w:rsid w:val="3CFE7638"/>
    <w:rsid w:val="3D2C17D6"/>
    <w:rsid w:val="3D432EEC"/>
    <w:rsid w:val="3DFD7FAB"/>
    <w:rsid w:val="3EF30920"/>
    <w:rsid w:val="3F114B68"/>
    <w:rsid w:val="3FE95EF2"/>
    <w:rsid w:val="41095FEC"/>
    <w:rsid w:val="42082596"/>
    <w:rsid w:val="426B5C52"/>
    <w:rsid w:val="44766D22"/>
    <w:rsid w:val="45414B88"/>
    <w:rsid w:val="45CB46E0"/>
    <w:rsid w:val="46602C0D"/>
    <w:rsid w:val="47DE3CC6"/>
    <w:rsid w:val="48D93406"/>
    <w:rsid w:val="48FF79AC"/>
    <w:rsid w:val="49897E61"/>
    <w:rsid w:val="49C01D3E"/>
    <w:rsid w:val="4AA9566D"/>
    <w:rsid w:val="4B321759"/>
    <w:rsid w:val="4BA9288D"/>
    <w:rsid w:val="4C1473FB"/>
    <w:rsid w:val="4C4E2AC3"/>
    <w:rsid w:val="4E2244CA"/>
    <w:rsid w:val="4EF26F7E"/>
    <w:rsid w:val="4FC33CBA"/>
    <w:rsid w:val="4FD66A55"/>
    <w:rsid w:val="501E5603"/>
    <w:rsid w:val="50476111"/>
    <w:rsid w:val="50E54B68"/>
    <w:rsid w:val="54A73E6F"/>
    <w:rsid w:val="55954A50"/>
    <w:rsid w:val="55C14F8D"/>
    <w:rsid w:val="55FA191D"/>
    <w:rsid w:val="56233027"/>
    <w:rsid w:val="59DF3449"/>
    <w:rsid w:val="5CAC64A4"/>
    <w:rsid w:val="5CC860F5"/>
    <w:rsid w:val="5D9F0D0E"/>
    <w:rsid w:val="5E010849"/>
    <w:rsid w:val="5EF500B8"/>
    <w:rsid w:val="60923C13"/>
    <w:rsid w:val="60EA4316"/>
    <w:rsid w:val="62037D31"/>
    <w:rsid w:val="62F13D6C"/>
    <w:rsid w:val="63555B43"/>
    <w:rsid w:val="64257A84"/>
    <w:rsid w:val="65236B49"/>
    <w:rsid w:val="65AA43C0"/>
    <w:rsid w:val="66161E47"/>
    <w:rsid w:val="677938EA"/>
    <w:rsid w:val="68116BFE"/>
    <w:rsid w:val="68CE326F"/>
    <w:rsid w:val="68E63587"/>
    <w:rsid w:val="6B2A6AB7"/>
    <w:rsid w:val="6C0A2AA6"/>
    <w:rsid w:val="6D535020"/>
    <w:rsid w:val="6D7F7D9E"/>
    <w:rsid w:val="6FEA0580"/>
    <w:rsid w:val="70320DB2"/>
    <w:rsid w:val="703379A9"/>
    <w:rsid w:val="70B962BB"/>
    <w:rsid w:val="71E279DE"/>
    <w:rsid w:val="71F05725"/>
    <w:rsid w:val="750D0F71"/>
    <w:rsid w:val="76BD5E40"/>
    <w:rsid w:val="789B6814"/>
    <w:rsid w:val="78B97743"/>
    <w:rsid w:val="78CF2A94"/>
    <w:rsid w:val="78EE0E45"/>
    <w:rsid w:val="796A69FF"/>
    <w:rsid w:val="7A83473E"/>
    <w:rsid w:val="7C7222EB"/>
    <w:rsid w:val="7DB05D8C"/>
    <w:rsid w:val="7E627FB6"/>
    <w:rsid w:val="7E6D4A3B"/>
    <w:rsid w:val="7F4240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widowControl w:val="0"/>
      <w:jc w:val="both"/>
    </w:pPr>
    <w:rPr>
      <w:rFonts w:ascii="Calibri" w:hAnsi="Calibri" w:eastAsia="宋体" w:cs="Times New Roman"/>
      <w:kern w:val="2"/>
      <w:sz w:val="28"/>
      <w:szCs w:val="24"/>
      <w:lang w:val="en-US" w:eastAsia="zh-CN" w:bidi="ar-SA"/>
    </w:rPr>
  </w:style>
  <w:style w:type="paragraph" w:styleId="3">
    <w:name w:val="Body Text Indent 2"/>
    <w:basedOn w:val="1"/>
    <w:qFormat/>
    <w:uiPriority w:val="0"/>
    <w:pPr>
      <w:ind w:firstLine="588" w:firstLineChars="200"/>
    </w:pPr>
    <w:rPr>
      <w:rFonts w:ascii="仿宋_GB2312" w:hAnsi="Calibri" w:eastAsia="仿宋_GB2312"/>
      <w:sz w:val="32"/>
    </w:rPr>
  </w:style>
  <w:style w:type="paragraph" w:styleId="4">
    <w:name w:val="footer"/>
    <w:basedOn w:val="1"/>
    <w:qFormat/>
    <w:uiPriority w:val="0"/>
    <w:pPr>
      <w:tabs>
        <w:tab w:val="center" w:pos="4153"/>
        <w:tab w:val="right" w:pos="8306"/>
      </w:tabs>
      <w:snapToGrid w:val="0"/>
      <w:jc w:val="left"/>
    </w:pPr>
    <w:rPr>
      <w:kern w:val="0"/>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oc 1"/>
    <w:basedOn w:val="1"/>
    <w:next w:val="1"/>
    <w:qFormat/>
    <w:uiPriority w:val="0"/>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page number"/>
    <w:qFormat/>
    <w:uiPriority w:val="0"/>
  </w:style>
  <w:style w:type="character" w:styleId="11">
    <w:name w:val="FollowedHyperlink"/>
    <w:basedOn w:val="9"/>
    <w:qFormat/>
    <w:uiPriority w:val="0"/>
    <w:rPr>
      <w:color w:val="666666"/>
      <w:u w:val="none"/>
    </w:rPr>
  </w:style>
  <w:style w:type="character" w:styleId="12">
    <w:name w:val="Emphasis"/>
    <w:basedOn w:val="9"/>
    <w:qFormat/>
    <w:uiPriority w:val="0"/>
  </w:style>
  <w:style w:type="character" w:styleId="13">
    <w:name w:val="HTML Definition"/>
    <w:basedOn w:val="9"/>
    <w:qFormat/>
    <w:uiPriority w:val="0"/>
  </w:style>
  <w:style w:type="character" w:styleId="14">
    <w:name w:val="HTML Typewriter"/>
    <w:basedOn w:val="9"/>
    <w:qFormat/>
    <w:uiPriority w:val="0"/>
    <w:rPr>
      <w:rFonts w:hint="default" w:ascii="monospace" w:hAnsi="monospace" w:eastAsia="monospace" w:cs="monospace"/>
      <w:sz w:val="20"/>
    </w:rPr>
  </w:style>
  <w:style w:type="character" w:styleId="15">
    <w:name w:val="HTML Acronym"/>
    <w:basedOn w:val="9"/>
    <w:qFormat/>
    <w:uiPriority w:val="0"/>
  </w:style>
  <w:style w:type="character" w:styleId="16">
    <w:name w:val="HTML Variable"/>
    <w:basedOn w:val="9"/>
    <w:qFormat/>
    <w:uiPriority w:val="0"/>
  </w:style>
  <w:style w:type="character" w:styleId="17">
    <w:name w:val="Hyperlink"/>
    <w:basedOn w:val="9"/>
    <w:qFormat/>
    <w:uiPriority w:val="0"/>
    <w:rPr>
      <w:color w:val="666666"/>
      <w:u w:val="none"/>
    </w:rPr>
  </w:style>
  <w:style w:type="character" w:styleId="18">
    <w:name w:val="HTML Code"/>
    <w:basedOn w:val="9"/>
    <w:qFormat/>
    <w:uiPriority w:val="0"/>
    <w:rPr>
      <w:rFonts w:hint="default" w:ascii="monospace" w:hAnsi="monospace" w:eastAsia="monospace" w:cs="monospace"/>
      <w:sz w:val="20"/>
    </w:rPr>
  </w:style>
  <w:style w:type="character" w:styleId="19">
    <w:name w:val="HTML Cite"/>
    <w:basedOn w:val="9"/>
    <w:qFormat/>
    <w:uiPriority w:val="0"/>
  </w:style>
  <w:style w:type="character" w:styleId="20">
    <w:name w:val="HTML Keyboard"/>
    <w:basedOn w:val="9"/>
    <w:qFormat/>
    <w:uiPriority w:val="0"/>
    <w:rPr>
      <w:rFonts w:hint="default" w:ascii="monospace" w:hAnsi="monospace" w:eastAsia="monospace" w:cs="monospace"/>
      <w:sz w:val="20"/>
    </w:rPr>
  </w:style>
  <w:style w:type="character" w:styleId="21">
    <w:name w:val="HTML Sample"/>
    <w:basedOn w:val="9"/>
    <w:qFormat/>
    <w:uiPriority w:val="0"/>
    <w:rPr>
      <w:rFonts w:ascii="monospace" w:hAnsi="monospace" w:eastAsia="monospace" w:cs="monospace"/>
    </w:rPr>
  </w:style>
  <w:style w:type="character" w:customStyle="1" w:styleId="22">
    <w:name w:val="标题 3 Char Char"/>
    <w:qFormat/>
    <w:uiPriority w:val="0"/>
    <w:rPr>
      <w:rFonts w:eastAsia="楷体_GB2312"/>
      <w:b/>
      <w:kern w:val="2"/>
      <w:sz w:val="32"/>
      <w:szCs w:val="24"/>
      <w:lang w:val="en-US" w:eastAsia="zh-CN" w:bidi="ar-SA"/>
    </w:rPr>
  </w:style>
  <w:style w:type="paragraph" w:customStyle="1" w:styleId="23">
    <w:name w:val="Table Paragraph"/>
    <w:basedOn w:val="1"/>
    <w:qFormat/>
    <w:uiPriority w:val="1"/>
    <w:rPr>
      <w:rFonts w:ascii="宋体" w:hAnsi="宋体" w:eastAsia="宋体" w:cs="宋体"/>
      <w:lang w:val="zh-CN" w:eastAsia="zh-CN" w:bidi="zh-CN"/>
    </w:rPr>
  </w:style>
  <w:style w:type="character" w:customStyle="1" w:styleId="24">
    <w:name w:val="wx-space"/>
    <w:basedOn w:val="9"/>
    <w:qFormat/>
    <w:uiPriority w:val="0"/>
  </w:style>
  <w:style w:type="character" w:customStyle="1" w:styleId="25">
    <w:name w:val="wx-space1"/>
    <w:basedOn w:val="9"/>
    <w:qFormat/>
    <w:uiPriority w:val="0"/>
  </w:style>
  <w:style w:type="character" w:customStyle="1" w:styleId="26">
    <w:name w:val="hover18"/>
    <w:basedOn w:val="9"/>
    <w:qFormat/>
    <w:uiPriority w:val="0"/>
    <w:rPr>
      <w:color w:val="000000"/>
      <w:shd w:val="clear" w:fill="FFFFFF"/>
    </w:rPr>
  </w:style>
  <w:style w:type="character" w:customStyle="1" w:styleId="27">
    <w:name w:val="bsharetext"/>
    <w:basedOn w:val="9"/>
    <w:qFormat/>
    <w:uiPriority w:val="0"/>
  </w:style>
  <w:style w:type="character" w:customStyle="1" w:styleId="28">
    <w:name w:val="hover20"/>
    <w:basedOn w:val="9"/>
    <w:qFormat/>
    <w:uiPriority w:val="0"/>
    <w:rPr>
      <w:color w:val="000000"/>
      <w:shd w:val="clear" w:fill="FFFFFF"/>
    </w:rPr>
  </w:style>
  <w:style w:type="character" w:customStyle="1" w:styleId="29">
    <w:name w:val="hover19"/>
    <w:basedOn w:val="9"/>
    <w:qFormat/>
    <w:uiPriority w:val="0"/>
    <w:rPr>
      <w:color w:val="000000"/>
      <w:shd w:val="clear" w:fill="FFFFFF"/>
    </w:rPr>
  </w:style>
  <w:style w:type="character" w:customStyle="1" w:styleId="30">
    <w:name w:val="hover"/>
    <w:basedOn w:val="9"/>
    <w:qFormat/>
    <w:uiPriority w:val="0"/>
    <w:rPr>
      <w:color w:val="000000"/>
      <w:shd w:val="clear" w:fill="FFFFFF"/>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187</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2018-05-23T02:39:00Z</dcterms:created>
  <dc:creator>Administrator</dc:creator>
  <cp:lastModifiedBy>Administrator</cp:lastModifiedBy>
  <cp:lastPrinted>2020-06-16T08:24:00Z</cp:lastPrinted>
  <dcterms:modified xsi:type="dcterms:W3CDTF">2021-09-09T12:16:19Z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1F6AEAEF561A409A9829393785CE7138</vt:lpwstr>
  </property>
</Properties>
</file>