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F647FC">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14:paraId="456E4A7D">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14:paraId="6F29FC30">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14:paraId="39AD7AA8">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14:paraId="433F8C91">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14:paraId="29B9D4B8">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14:paraId="51EFF5E6">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CD516A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E68504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CE3AA2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A85958B">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F41E1E4">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E2384A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012F05E8">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6BD1385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C8E74F2">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EF9A27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CFDC6E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2024A0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78B8A83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FD5D8F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0B1FD337">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14:paraId="69ABCA6C">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3"/>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14:paraId="7869D936">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41F3AAE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6579482E">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3A79CD1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14:paraId="13B52731">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26D5EEA8">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1BFADDA6">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4A6B902B">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16</w:t>
            </w:r>
          </w:p>
        </w:tc>
        <w:tc>
          <w:tcPr>
            <w:tcW w:w="2240" w:type="dxa"/>
            <w:gridSpan w:val="2"/>
            <w:tcBorders>
              <w:top w:val="single" w:color="auto" w:sz="4" w:space="0"/>
              <w:left w:val="nil"/>
              <w:bottom w:val="single" w:color="auto" w:sz="4" w:space="0"/>
              <w:right w:val="single" w:color="auto" w:sz="4" w:space="0"/>
            </w:tcBorders>
            <w:noWrap w:val="0"/>
            <w:vAlign w:val="center"/>
          </w:tcPr>
          <w:p w14:paraId="49DB46A3">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11</w:t>
            </w:r>
          </w:p>
        </w:tc>
        <w:tc>
          <w:tcPr>
            <w:tcW w:w="2041" w:type="dxa"/>
            <w:gridSpan w:val="2"/>
            <w:tcBorders>
              <w:top w:val="single" w:color="auto" w:sz="4" w:space="0"/>
              <w:left w:val="nil"/>
              <w:bottom w:val="single" w:color="auto" w:sz="4" w:space="0"/>
              <w:right w:val="single" w:color="auto" w:sz="4" w:space="0"/>
            </w:tcBorders>
            <w:noWrap w:val="0"/>
            <w:vAlign w:val="center"/>
          </w:tcPr>
          <w:p w14:paraId="0A4F2F09">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68.75%</w:t>
            </w:r>
          </w:p>
        </w:tc>
      </w:tr>
      <w:tr w14:paraId="04C262E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AA66DF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55BD383B">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61106E5D">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14:paraId="53942F4F">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058E343E">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B0B4D6E">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7D424B0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4A7E78E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596042B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2500D13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C6BE6D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2911B1C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5FD3D6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71552F3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7A52173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6A648C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37A5B16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D03BF1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2B7272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20E28F4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A00600E">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0DB9683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F37685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6DB10FD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1188413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A74852D">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5252D1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985D90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2B513C7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02E2AB5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6B9DFA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2A49449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03B6E1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4AA3C2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562E5C5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EAE658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32E9A5D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E80260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12C87E6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04043B0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149543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21389C3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862888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154C43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7B6B52FA">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C06D31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4AF246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21ED98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B5A501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47E8DB6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CBA42D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708E470E">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434C6970">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20528DB0">
            <w:pPr>
              <w:widowControl/>
              <w:spacing w:line="360" w:lineRule="exact"/>
              <w:jc w:val="center"/>
              <w:rPr>
                <w:rFonts w:hint="eastAsia" w:ascii="仿宋_GB2312" w:hAnsi="仿宋_GB2312" w:eastAsia="仿宋_GB2312" w:cs="仿宋_GB2312"/>
                <w:sz w:val="20"/>
                <w:szCs w:val="20"/>
                <w:highlight w:val="none"/>
              </w:rPr>
            </w:pPr>
          </w:p>
        </w:tc>
      </w:tr>
      <w:tr w14:paraId="3BB54C4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F5F523D">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1B9EEFD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137600F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E3FBD1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377B9F3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6FA92F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65E173F3">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6F9B4434">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38570F43">
            <w:pPr>
              <w:widowControl/>
              <w:spacing w:line="360" w:lineRule="exact"/>
              <w:jc w:val="center"/>
              <w:rPr>
                <w:rFonts w:hint="eastAsia" w:ascii="仿宋_GB2312" w:hAnsi="仿宋_GB2312" w:eastAsia="仿宋_GB2312" w:cs="仿宋_GB2312"/>
                <w:sz w:val="20"/>
                <w:szCs w:val="20"/>
                <w:highlight w:val="none"/>
              </w:rPr>
            </w:pPr>
          </w:p>
        </w:tc>
      </w:tr>
      <w:tr w14:paraId="7FF3268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17C80D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3AF51AAD">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105.22</w:t>
            </w:r>
          </w:p>
        </w:tc>
        <w:tc>
          <w:tcPr>
            <w:tcW w:w="2240" w:type="dxa"/>
            <w:gridSpan w:val="2"/>
            <w:tcBorders>
              <w:top w:val="single" w:color="auto" w:sz="4" w:space="0"/>
              <w:left w:val="nil"/>
              <w:bottom w:val="single" w:color="auto" w:sz="4" w:space="0"/>
              <w:right w:val="single" w:color="000000" w:sz="4" w:space="0"/>
            </w:tcBorders>
            <w:noWrap w:val="0"/>
            <w:vAlign w:val="center"/>
          </w:tcPr>
          <w:p w14:paraId="01C91493">
            <w:pPr>
              <w:widowControl/>
              <w:spacing w:line="360" w:lineRule="exact"/>
              <w:jc w:val="center"/>
              <w:rPr>
                <w:rFonts w:hint="default" w:ascii="仿宋_GB2312" w:hAnsi="仿宋_GB2312" w:eastAsia="仿宋_GB2312" w:cs="仿宋_GB2312"/>
                <w:color w:val="auto"/>
                <w:sz w:val="20"/>
                <w:szCs w:val="20"/>
                <w:highlight w:val="none"/>
                <w:lang w:val="en-US" w:eastAsia="zh-CN"/>
              </w:rPr>
            </w:pPr>
          </w:p>
        </w:tc>
        <w:tc>
          <w:tcPr>
            <w:tcW w:w="2041" w:type="dxa"/>
            <w:gridSpan w:val="2"/>
            <w:tcBorders>
              <w:top w:val="single" w:color="auto" w:sz="4" w:space="0"/>
              <w:left w:val="nil"/>
              <w:bottom w:val="single" w:color="auto" w:sz="4" w:space="0"/>
              <w:right w:val="single" w:color="000000" w:sz="4" w:space="0"/>
            </w:tcBorders>
            <w:noWrap w:val="0"/>
            <w:vAlign w:val="center"/>
          </w:tcPr>
          <w:p w14:paraId="488E3C6F">
            <w:pPr>
              <w:widowControl/>
              <w:spacing w:line="360" w:lineRule="exact"/>
              <w:jc w:val="center"/>
              <w:rPr>
                <w:rFonts w:hint="default" w:ascii="仿宋_GB2312" w:hAnsi="仿宋_GB2312" w:eastAsia="仿宋_GB2312" w:cs="仿宋_GB2312"/>
                <w:color w:val="auto"/>
                <w:sz w:val="20"/>
                <w:szCs w:val="20"/>
                <w:highlight w:val="none"/>
                <w:lang w:val="en-US"/>
              </w:rPr>
            </w:pPr>
            <w:r>
              <w:rPr>
                <w:rFonts w:hint="eastAsia" w:ascii="仿宋_GB2312" w:hAnsi="仿宋_GB2312" w:eastAsia="仿宋_GB2312" w:cs="仿宋_GB2312"/>
                <w:color w:val="auto"/>
                <w:sz w:val="20"/>
                <w:szCs w:val="20"/>
                <w:highlight w:val="none"/>
                <w:lang w:val="en-US" w:eastAsia="zh-CN"/>
              </w:rPr>
              <w:t>158.92</w:t>
            </w:r>
          </w:p>
        </w:tc>
      </w:tr>
      <w:tr w14:paraId="7CC85A3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9177A8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1AF5C2AD">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2.57</w:t>
            </w:r>
          </w:p>
        </w:tc>
        <w:tc>
          <w:tcPr>
            <w:tcW w:w="2240" w:type="dxa"/>
            <w:gridSpan w:val="2"/>
            <w:tcBorders>
              <w:top w:val="single" w:color="auto" w:sz="4" w:space="0"/>
              <w:left w:val="nil"/>
              <w:bottom w:val="single" w:color="auto" w:sz="4" w:space="0"/>
              <w:right w:val="single" w:color="000000" w:sz="4" w:space="0"/>
            </w:tcBorders>
            <w:noWrap w:val="0"/>
            <w:vAlign w:val="center"/>
          </w:tcPr>
          <w:p w14:paraId="1CA1C14E">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6856B198">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2.49</w:t>
            </w:r>
          </w:p>
        </w:tc>
      </w:tr>
      <w:tr w14:paraId="25C69AB5">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FFDEEA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083BCD08">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2.21</w:t>
            </w:r>
          </w:p>
        </w:tc>
        <w:tc>
          <w:tcPr>
            <w:tcW w:w="2240" w:type="dxa"/>
            <w:gridSpan w:val="2"/>
            <w:tcBorders>
              <w:top w:val="single" w:color="auto" w:sz="4" w:space="0"/>
              <w:left w:val="nil"/>
              <w:bottom w:val="single" w:color="auto" w:sz="4" w:space="0"/>
              <w:right w:val="single" w:color="000000" w:sz="4" w:space="0"/>
            </w:tcBorders>
            <w:noWrap w:val="0"/>
            <w:vAlign w:val="center"/>
          </w:tcPr>
          <w:p w14:paraId="7C4022FE">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17C4612B">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1.87</w:t>
            </w:r>
          </w:p>
        </w:tc>
      </w:tr>
      <w:tr w14:paraId="5753BEC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139D99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44956334">
            <w:pPr>
              <w:widowControl/>
              <w:spacing w:line="360" w:lineRule="exact"/>
              <w:jc w:val="center"/>
              <w:rPr>
                <w:rFonts w:hint="eastAsia" w:ascii="仿宋_GB2312" w:hAnsi="仿宋_GB2312" w:eastAsia="仿宋_GB2312" w:cs="仿宋_GB2312"/>
                <w:color w:val="auto"/>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5A542C6D">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4E5EA228">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39.84</w:t>
            </w:r>
          </w:p>
        </w:tc>
      </w:tr>
      <w:tr w14:paraId="5F2EC3EA">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44C0069">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35862D9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4388CAA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50D5C38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7A12E31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EE17AED">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60C12CD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565760A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346.53</w:t>
            </w:r>
          </w:p>
        </w:tc>
        <w:tc>
          <w:tcPr>
            <w:tcW w:w="2041" w:type="dxa"/>
            <w:gridSpan w:val="2"/>
            <w:tcBorders>
              <w:top w:val="single" w:color="auto" w:sz="4" w:space="0"/>
              <w:left w:val="nil"/>
              <w:bottom w:val="single" w:color="auto" w:sz="4" w:space="0"/>
              <w:right w:val="single" w:color="000000" w:sz="4" w:space="0"/>
            </w:tcBorders>
            <w:noWrap w:val="0"/>
            <w:vAlign w:val="center"/>
          </w:tcPr>
          <w:p w14:paraId="05B5308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338.93</w:t>
            </w:r>
          </w:p>
        </w:tc>
      </w:tr>
      <w:tr w14:paraId="49F2265F">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20E6A6A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55AFCDE3">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0C01A140">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61155C77">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318BD8D8">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61E77C85">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14:paraId="6ED7B417">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14:paraId="3FCF187F">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6A8CCA9D">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14:paraId="7D4A5EF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14:paraId="26DAC84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14:paraId="6A1A269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14:paraId="3F22771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14:paraId="553219E9">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14:paraId="77067A7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6EF8B27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A5A79C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14:paraId="0EAF2346">
            <w:pPr>
              <w:widowControl/>
              <w:spacing w:line="360" w:lineRule="exact"/>
              <w:jc w:val="left"/>
              <w:rPr>
                <w:rFonts w:hint="eastAsia" w:ascii="仿宋_GB2312" w:hAnsi="仿宋_GB2312" w:eastAsia="仿宋_GB2312" w:cs="仿宋_GB2312"/>
                <w:sz w:val="20"/>
                <w:szCs w:val="20"/>
                <w:highlight w:val="none"/>
              </w:rPr>
            </w:pPr>
            <w:bookmarkStart w:id="0" w:name="_GoBack"/>
            <w:bookmarkEnd w:id="0"/>
            <w:r>
              <w:rPr>
                <w:rFonts w:hint="eastAsia" w:ascii="仿宋_GB2312" w:hAnsi="仿宋_GB2312" w:eastAsia="仿宋_GB2312" w:cs="仿宋_GB2312"/>
                <w:sz w:val="20"/>
                <w:szCs w:val="20"/>
                <w:highlight w:val="none"/>
                <w:lang w:val="en-US" w:eastAsia="zh-CN"/>
              </w:rPr>
              <w:t>大力压缩三公经费，控制公用经费规模，确保支出不超预算。</w:t>
            </w:r>
            <w:r>
              <w:rPr>
                <w:rFonts w:hint="eastAsia" w:ascii="仿宋_GB2312" w:hAnsi="仿宋_GB2312" w:eastAsia="仿宋_GB2312" w:cs="仿宋_GB2312"/>
                <w:sz w:val="20"/>
                <w:szCs w:val="20"/>
                <w:highlight w:val="none"/>
              </w:rPr>
              <w:t>　</w:t>
            </w:r>
          </w:p>
        </w:tc>
      </w:tr>
    </w:tbl>
    <w:p w14:paraId="5AB77687">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14:paraId="6600A5AD">
      <w:pPr>
        <w:widowControl/>
        <w:spacing w:afterLines="0" w:line="400" w:lineRule="exact"/>
        <w:jc w:val="left"/>
        <w:rPr>
          <w:rFonts w:hint="default" w:ascii="Times New Roman" w:hAnsi="Times New Roman" w:eastAsia="仿宋_GB2312" w:cs="Times New Roman"/>
          <w:sz w:val="22"/>
          <w:highlight w:val="none"/>
        </w:rPr>
      </w:pPr>
    </w:p>
    <w:p w14:paraId="6288DE70">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文红莲</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2024年6月27日</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15173063101</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14:paraId="731496E1">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3"/>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14:paraId="4F76A981">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42309D7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14:paraId="58D3354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岳阳市君山区钱粮湖血防站　</w:t>
            </w:r>
          </w:p>
        </w:tc>
      </w:tr>
      <w:tr w14:paraId="65FE8C5A">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12A93F0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14:paraId="166E71A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14:paraId="253BB4B3">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14:paraId="4719B8A7">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14:paraId="3C63F370">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14:paraId="136E8F62">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14:paraId="4ED9A3BC">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0FDF7F65">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14:paraId="6F2AC871">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4A39D23E">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14:paraId="5CEC6AB9">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14:paraId="774948D8">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14:paraId="750CC820">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159.98</w:t>
            </w:r>
          </w:p>
        </w:tc>
        <w:tc>
          <w:tcPr>
            <w:tcW w:w="1311" w:type="dxa"/>
            <w:tcBorders>
              <w:top w:val="nil"/>
              <w:left w:val="nil"/>
              <w:bottom w:val="single" w:color="auto" w:sz="4" w:space="0"/>
              <w:right w:val="single" w:color="auto" w:sz="4" w:space="0"/>
            </w:tcBorders>
            <w:noWrap w:val="0"/>
            <w:vAlign w:val="center"/>
          </w:tcPr>
          <w:p w14:paraId="70FAD031">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346.53</w:t>
            </w:r>
          </w:p>
        </w:tc>
        <w:tc>
          <w:tcPr>
            <w:tcW w:w="1269" w:type="dxa"/>
            <w:tcBorders>
              <w:top w:val="nil"/>
              <w:left w:val="nil"/>
              <w:bottom w:val="single" w:color="auto" w:sz="4" w:space="0"/>
              <w:right w:val="single" w:color="auto" w:sz="4" w:space="0"/>
            </w:tcBorders>
            <w:noWrap w:val="0"/>
            <w:vAlign w:val="center"/>
          </w:tcPr>
          <w:p w14:paraId="10258139">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338.93</w:t>
            </w:r>
          </w:p>
        </w:tc>
        <w:tc>
          <w:tcPr>
            <w:tcW w:w="716" w:type="dxa"/>
            <w:tcBorders>
              <w:top w:val="nil"/>
              <w:left w:val="nil"/>
              <w:bottom w:val="single" w:color="auto" w:sz="4" w:space="0"/>
              <w:right w:val="single" w:color="auto" w:sz="4" w:space="0"/>
            </w:tcBorders>
            <w:noWrap w:val="0"/>
            <w:vAlign w:val="center"/>
          </w:tcPr>
          <w:p w14:paraId="6D6BB930">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14:paraId="50545023">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97.81%</w:t>
            </w:r>
          </w:p>
        </w:tc>
        <w:tc>
          <w:tcPr>
            <w:tcW w:w="1446" w:type="dxa"/>
            <w:tcBorders>
              <w:top w:val="nil"/>
              <w:left w:val="nil"/>
              <w:bottom w:val="single" w:color="auto" w:sz="4" w:space="0"/>
              <w:right w:val="single" w:color="auto" w:sz="4" w:space="0"/>
            </w:tcBorders>
            <w:noWrap w:val="0"/>
            <w:vAlign w:val="center"/>
          </w:tcPr>
          <w:p w14:paraId="5D1EB48F">
            <w:pPr>
              <w:spacing w:line="24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w:t>
            </w:r>
          </w:p>
        </w:tc>
      </w:tr>
      <w:tr w14:paraId="1EBC8F3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6434E43">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2848D9E3">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14:paraId="1FB668C2">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14:paraId="13F8A5C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FE7146F">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1F822398">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val="en-US" w:eastAsia="zh-CN"/>
              </w:rPr>
              <w:t>180.01</w:t>
            </w:r>
          </w:p>
        </w:tc>
        <w:tc>
          <w:tcPr>
            <w:tcW w:w="4304" w:type="dxa"/>
            <w:gridSpan w:val="4"/>
            <w:tcBorders>
              <w:top w:val="nil"/>
              <w:left w:val="nil"/>
              <w:bottom w:val="single" w:color="auto" w:sz="4" w:space="0"/>
              <w:right w:val="single" w:color="auto" w:sz="4" w:space="0"/>
            </w:tcBorders>
            <w:noWrap w:val="0"/>
            <w:vAlign w:val="center"/>
          </w:tcPr>
          <w:p w14:paraId="10C28630">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346.53</w:t>
            </w:r>
          </w:p>
        </w:tc>
      </w:tr>
      <w:tr w14:paraId="073BB31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DACC135">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3BA1E9F8">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4304" w:type="dxa"/>
            <w:gridSpan w:val="4"/>
            <w:tcBorders>
              <w:top w:val="nil"/>
              <w:left w:val="nil"/>
              <w:bottom w:val="single" w:color="auto" w:sz="4" w:space="0"/>
              <w:right w:val="single" w:color="auto" w:sz="4" w:space="0"/>
            </w:tcBorders>
            <w:noWrap w:val="0"/>
            <w:vAlign w:val="center"/>
          </w:tcPr>
          <w:p w14:paraId="6AA63CF3">
            <w:pPr>
              <w:widowControl/>
              <w:spacing w:line="240" w:lineRule="exact"/>
              <w:ind w:firstLine="600" w:firstLineChars="3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项目支出：</w:t>
            </w:r>
          </w:p>
        </w:tc>
      </w:tr>
      <w:tr w14:paraId="2761A42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C330AE6">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52AB1F0F">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14:paraId="18831AF6">
            <w:pPr>
              <w:widowControl/>
              <w:spacing w:line="240" w:lineRule="exact"/>
              <w:jc w:val="left"/>
              <w:rPr>
                <w:rFonts w:hint="eastAsia" w:ascii="仿宋_GB2312" w:hAnsi="仿宋_GB2312" w:eastAsia="仿宋_GB2312" w:cs="仿宋_GB2312"/>
                <w:color w:val="000000"/>
                <w:sz w:val="20"/>
                <w:szCs w:val="20"/>
                <w:highlight w:val="none"/>
              </w:rPr>
            </w:pPr>
          </w:p>
        </w:tc>
      </w:tr>
      <w:tr w14:paraId="3C5F1A20">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14:paraId="203D68BF">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3E30677A">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166.52</w:t>
            </w:r>
          </w:p>
        </w:tc>
        <w:tc>
          <w:tcPr>
            <w:tcW w:w="4304" w:type="dxa"/>
            <w:gridSpan w:val="4"/>
            <w:tcBorders>
              <w:top w:val="nil"/>
              <w:left w:val="nil"/>
              <w:bottom w:val="single" w:color="auto" w:sz="4" w:space="0"/>
              <w:right w:val="single" w:color="auto" w:sz="4" w:space="0"/>
            </w:tcBorders>
            <w:noWrap w:val="0"/>
            <w:vAlign w:val="center"/>
          </w:tcPr>
          <w:p w14:paraId="201AF478">
            <w:pPr>
              <w:widowControl/>
              <w:spacing w:line="240" w:lineRule="exact"/>
              <w:jc w:val="left"/>
              <w:rPr>
                <w:rFonts w:hint="eastAsia" w:ascii="仿宋_GB2312" w:hAnsi="仿宋_GB2312" w:eastAsia="仿宋_GB2312" w:cs="仿宋_GB2312"/>
                <w:color w:val="000000"/>
                <w:sz w:val="20"/>
                <w:szCs w:val="20"/>
                <w:highlight w:val="none"/>
              </w:rPr>
            </w:pPr>
          </w:p>
        </w:tc>
      </w:tr>
      <w:tr w14:paraId="1679FBA1">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2B163B7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14:paraId="5CA75C5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14:paraId="45BAD55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0D01350E">
        <w:tblPrEx>
          <w:tblCellMar>
            <w:top w:w="0" w:type="dxa"/>
            <w:left w:w="108" w:type="dxa"/>
            <w:bottom w:w="0" w:type="dxa"/>
            <w:right w:w="108" w:type="dxa"/>
          </w:tblCellMar>
        </w:tblPrEx>
        <w:trPr>
          <w:trHeight w:val="811"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611FC880">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14:paraId="26DF9851">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1.查、灭钉螺，完成辖区内查螺面积3662万平方米（其中垸内253万平方米，垸外3409万平方米），药物灭螺465万平方米；2.查、治病人，人群查治工作查病</w:t>
            </w:r>
            <w:r>
              <w:rPr>
                <w:rFonts w:hint="eastAsia" w:ascii="仿宋_GB2312" w:hAnsi="仿宋_GB2312" w:eastAsia="仿宋_GB2312" w:cs="仿宋_GB2312"/>
                <w:color w:val="000000"/>
                <w:sz w:val="20"/>
                <w:szCs w:val="20"/>
                <w:highlight w:val="none"/>
                <w:lang w:eastAsia="zh-CN"/>
              </w:rPr>
              <w:t>57167</w:t>
            </w:r>
            <w:r>
              <w:rPr>
                <w:rFonts w:hint="eastAsia" w:ascii="仿宋_GB2312" w:hAnsi="仿宋_GB2312" w:eastAsia="仿宋_GB2312" w:cs="仿宋_GB2312"/>
                <w:color w:val="000000"/>
                <w:sz w:val="20"/>
                <w:szCs w:val="20"/>
                <w:highlight w:val="none"/>
              </w:rPr>
              <w:t>人次，化疗</w:t>
            </w:r>
            <w:r>
              <w:rPr>
                <w:rFonts w:hint="eastAsia" w:ascii="仿宋_GB2312" w:hAnsi="仿宋_GB2312" w:eastAsia="仿宋_GB2312" w:cs="仿宋_GB2312"/>
                <w:color w:val="000000"/>
                <w:sz w:val="20"/>
                <w:szCs w:val="20"/>
                <w:highlight w:val="none"/>
                <w:lang w:eastAsia="zh-CN"/>
              </w:rPr>
              <w:t>859</w:t>
            </w:r>
            <w:r>
              <w:rPr>
                <w:rFonts w:hint="eastAsia" w:ascii="仿宋_GB2312" w:hAnsi="仿宋_GB2312" w:eastAsia="仿宋_GB2312" w:cs="仿宋_GB2312"/>
                <w:color w:val="000000"/>
                <w:sz w:val="20"/>
                <w:szCs w:val="20"/>
                <w:highlight w:val="none"/>
              </w:rPr>
              <w:t>人次；</w:t>
            </w:r>
            <w:r>
              <w:rPr>
                <w:rFonts w:hint="eastAsia" w:ascii="仿宋_GB2312" w:hAnsi="仿宋_GB2312" w:eastAsia="仿宋_GB2312" w:cs="仿宋_GB2312"/>
                <w:color w:val="000000"/>
                <w:sz w:val="20"/>
                <w:szCs w:val="20"/>
                <w:highlight w:val="none"/>
                <w:lang w:val="en-US" w:eastAsia="zh-CN"/>
              </w:rPr>
              <w:t>3</w:t>
            </w:r>
            <w:r>
              <w:rPr>
                <w:rFonts w:hint="eastAsia" w:ascii="仿宋_GB2312" w:hAnsi="仿宋_GB2312" w:eastAsia="仿宋_GB2312" w:cs="仿宋_GB2312"/>
                <w:color w:val="000000"/>
                <w:sz w:val="20"/>
                <w:szCs w:val="20"/>
                <w:highlight w:val="none"/>
              </w:rPr>
              <w:t>.健康教育，开展血防宣传周等宣教活动针对性的对重点人群及区域进行健康宣教，确保疫区群众血防知识知晓率达到95%以上；</w:t>
            </w:r>
            <w:r>
              <w:rPr>
                <w:rFonts w:hint="eastAsia" w:ascii="仿宋_GB2312" w:hAnsi="仿宋_GB2312" w:eastAsia="仿宋_GB2312" w:cs="仿宋_GB2312"/>
                <w:color w:val="000000"/>
                <w:sz w:val="20"/>
                <w:szCs w:val="20"/>
                <w:highlight w:val="none"/>
                <w:lang w:val="en-US" w:eastAsia="zh-CN"/>
              </w:rPr>
              <w:t>4</w:t>
            </w:r>
            <w:r>
              <w:rPr>
                <w:rFonts w:hint="eastAsia" w:ascii="仿宋_GB2312" w:hAnsi="仿宋_GB2312" w:eastAsia="仿宋_GB2312" w:cs="仿宋_GB2312"/>
                <w:color w:val="000000"/>
                <w:sz w:val="20"/>
                <w:szCs w:val="20"/>
                <w:highlight w:val="none"/>
              </w:rPr>
              <w:t>.重点人群传染源控制，加强汛期抗洪抢险人员、渔船民、水上作业人员、水利工作人员等重点人群触疫水情况排查与预防性化疗。　</w:t>
            </w:r>
          </w:p>
        </w:tc>
        <w:tc>
          <w:tcPr>
            <w:tcW w:w="4304" w:type="dxa"/>
            <w:gridSpan w:val="4"/>
            <w:tcBorders>
              <w:top w:val="single" w:color="auto" w:sz="4" w:space="0"/>
              <w:left w:val="nil"/>
              <w:bottom w:val="single" w:color="auto" w:sz="4" w:space="0"/>
              <w:right w:val="single" w:color="auto" w:sz="4" w:space="0"/>
            </w:tcBorders>
            <w:noWrap w:val="0"/>
            <w:vAlign w:val="center"/>
          </w:tcPr>
          <w:p w14:paraId="46E77C1B">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年度预期目标已完成。</w:t>
            </w:r>
          </w:p>
        </w:tc>
      </w:tr>
      <w:tr w14:paraId="7D873692">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3983532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73BD966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03E4600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29F299F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14:paraId="0E2AD745">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14:paraId="6B6940C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14:paraId="44C9AED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14:paraId="71158B8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14:paraId="58DE2F67">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14:paraId="798BD65B">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14:paraId="74E2C0B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5E3A945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14:paraId="0C0645FD">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13C0FD6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F829EE5">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7006F35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69ACE6F1">
            <w:pPr>
              <w:widowControl/>
              <w:spacing w:line="240" w:lineRule="exact"/>
              <w:jc w:val="center"/>
              <w:rPr>
                <w:rFonts w:hint="eastAsia" w:ascii="仿宋_GB2312" w:hAnsi="仿宋_GB2312" w:eastAsia="仿宋_GB2312" w:cs="仿宋_GB2312"/>
                <w:color w:val="000000"/>
                <w:sz w:val="20"/>
                <w:szCs w:val="20"/>
                <w:highlight w:val="none"/>
              </w:rPr>
            </w:pPr>
          </w:p>
          <w:p w14:paraId="211589C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14:paraId="4867777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14:paraId="3FCDC211">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查灭钉螺总面积</w:t>
            </w:r>
          </w:p>
        </w:tc>
        <w:tc>
          <w:tcPr>
            <w:tcW w:w="1311" w:type="dxa"/>
            <w:tcBorders>
              <w:top w:val="nil"/>
              <w:left w:val="nil"/>
              <w:bottom w:val="single" w:color="auto" w:sz="4" w:space="0"/>
              <w:right w:val="single" w:color="auto" w:sz="4" w:space="0"/>
            </w:tcBorders>
            <w:noWrap w:val="0"/>
            <w:vAlign w:val="center"/>
          </w:tcPr>
          <w:p w14:paraId="76F9F0FB">
            <w:pPr>
              <w:keepNext w:val="0"/>
              <w:keepLines w:val="0"/>
              <w:widowControl/>
              <w:suppressLineNumbers w:val="0"/>
              <w:jc w:val="center"/>
              <w:textAlignment w:val="center"/>
              <w:rPr>
                <w:rFonts w:hint="eastAsia" w:ascii="仿宋" w:hAnsi="仿宋" w:eastAsia="仿宋" w:cs="仿宋"/>
                <w:color w:val="000000"/>
                <w:sz w:val="18"/>
                <w:szCs w:val="18"/>
                <w:highlight w:val="none"/>
                <w:lang w:val="en-US"/>
              </w:rPr>
            </w:pPr>
            <w:r>
              <w:rPr>
                <w:rFonts w:hint="eastAsia" w:ascii="仿宋" w:hAnsi="仿宋" w:eastAsia="仿宋" w:cs="仿宋"/>
                <w:i w:val="0"/>
                <w:iCs w:val="0"/>
                <w:color w:val="000000"/>
                <w:kern w:val="0"/>
                <w:sz w:val="18"/>
                <w:szCs w:val="18"/>
                <w:u w:val="none"/>
                <w:lang w:val="en-US" w:eastAsia="zh-CN" w:bidi="ar"/>
              </w:rPr>
              <w:t>2000万平方米</w:t>
            </w:r>
          </w:p>
        </w:tc>
        <w:tc>
          <w:tcPr>
            <w:tcW w:w="1269" w:type="dxa"/>
            <w:tcBorders>
              <w:top w:val="nil"/>
              <w:left w:val="nil"/>
              <w:bottom w:val="single" w:color="auto" w:sz="4" w:space="0"/>
              <w:right w:val="single" w:color="auto" w:sz="4" w:space="0"/>
            </w:tcBorders>
            <w:noWrap w:val="0"/>
            <w:vAlign w:val="center"/>
          </w:tcPr>
          <w:p w14:paraId="6CA43694">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3662万平方米</w:t>
            </w:r>
          </w:p>
        </w:tc>
        <w:tc>
          <w:tcPr>
            <w:tcW w:w="716" w:type="dxa"/>
            <w:tcBorders>
              <w:top w:val="nil"/>
              <w:left w:val="nil"/>
              <w:bottom w:val="single" w:color="auto" w:sz="4" w:space="0"/>
              <w:right w:val="single" w:color="auto" w:sz="4" w:space="0"/>
            </w:tcBorders>
            <w:noWrap w:val="0"/>
            <w:vAlign w:val="center"/>
          </w:tcPr>
          <w:p w14:paraId="63C10059">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1FAE8988">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24C70F11">
            <w:pPr>
              <w:widowControl/>
              <w:spacing w:line="240" w:lineRule="exact"/>
              <w:jc w:val="center"/>
              <w:rPr>
                <w:rFonts w:hint="eastAsia" w:ascii="仿宋" w:hAnsi="仿宋" w:eastAsia="仿宋" w:cs="仿宋"/>
                <w:color w:val="000000"/>
                <w:sz w:val="18"/>
                <w:szCs w:val="18"/>
                <w:highlight w:val="none"/>
              </w:rPr>
            </w:pPr>
          </w:p>
        </w:tc>
      </w:tr>
      <w:tr w14:paraId="593700F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26E529A">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FBDCD72">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66A2154C">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634B0D1B">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药物灭螺总面积</w:t>
            </w:r>
          </w:p>
        </w:tc>
        <w:tc>
          <w:tcPr>
            <w:tcW w:w="1311" w:type="dxa"/>
            <w:tcBorders>
              <w:top w:val="nil"/>
              <w:left w:val="nil"/>
              <w:bottom w:val="single" w:color="auto" w:sz="4" w:space="0"/>
              <w:right w:val="single" w:color="auto" w:sz="4" w:space="0"/>
            </w:tcBorders>
            <w:noWrap w:val="0"/>
            <w:vAlign w:val="center"/>
          </w:tcPr>
          <w:p w14:paraId="5CCEFB46">
            <w:pPr>
              <w:keepNext w:val="0"/>
              <w:keepLines w:val="0"/>
              <w:widowControl/>
              <w:suppressLineNumbers w:val="0"/>
              <w:jc w:val="center"/>
              <w:textAlignment w:val="center"/>
              <w:rPr>
                <w:rFonts w:hint="eastAsia" w:ascii="仿宋" w:hAnsi="仿宋" w:eastAsia="仿宋" w:cs="仿宋"/>
                <w:color w:val="000000"/>
                <w:sz w:val="18"/>
                <w:szCs w:val="18"/>
                <w:highlight w:val="none"/>
                <w:lang w:val="en-US"/>
              </w:rPr>
            </w:pPr>
            <w:r>
              <w:rPr>
                <w:rFonts w:hint="eastAsia" w:ascii="仿宋" w:hAnsi="仿宋" w:eastAsia="仿宋" w:cs="仿宋"/>
                <w:i w:val="0"/>
                <w:iCs w:val="0"/>
                <w:color w:val="000000"/>
                <w:kern w:val="0"/>
                <w:sz w:val="18"/>
                <w:szCs w:val="18"/>
                <w:u w:val="none"/>
                <w:lang w:val="en-US" w:eastAsia="zh-CN" w:bidi="ar"/>
              </w:rPr>
              <w:t>260万平方米</w:t>
            </w:r>
          </w:p>
        </w:tc>
        <w:tc>
          <w:tcPr>
            <w:tcW w:w="1269" w:type="dxa"/>
            <w:tcBorders>
              <w:top w:val="nil"/>
              <w:left w:val="nil"/>
              <w:bottom w:val="single" w:color="auto" w:sz="4" w:space="0"/>
              <w:right w:val="single" w:color="auto" w:sz="4" w:space="0"/>
            </w:tcBorders>
            <w:noWrap w:val="0"/>
            <w:vAlign w:val="center"/>
          </w:tcPr>
          <w:p w14:paraId="65C704B0">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465万平方米</w:t>
            </w:r>
          </w:p>
        </w:tc>
        <w:tc>
          <w:tcPr>
            <w:tcW w:w="716" w:type="dxa"/>
            <w:tcBorders>
              <w:top w:val="nil"/>
              <w:left w:val="nil"/>
              <w:bottom w:val="single" w:color="auto" w:sz="4" w:space="0"/>
              <w:right w:val="single" w:color="auto" w:sz="4" w:space="0"/>
            </w:tcBorders>
            <w:noWrap w:val="0"/>
            <w:vAlign w:val="center"/>
          </w:tcPr>
          <w:p w14:paraId="59B4B2E3">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5F752D4A">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515FD4F0">
            <w:pPr>
              <w:widowControl/>
              <w:spacing w:line="240" w:lineRule="exact"/>
              <w:jc w:val="center"/>
              <w:rPr>
                <w:rFonts w:hint="eastAsia" w:ascii="仿宋" w:hAnsi="仿宋" w:eastAsia="仿宋" w:cs="仿宋"/>
                <w:color w:val="000000"/>
                <w:sz w:val="18"/>
                <w:szCs w:val="18"/>
                <w:highlight w:val="none"/>
              </w:rPr>
            </w:pPr>
          </w:p>
        </w:tc>
      </w:tr>
      <w:tr w14:paraId="5A73F8D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AB2648A">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9F9A197">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2E04DCD0">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53E11F80">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查、治病人</w:t>
            </w:r>
          </w:p>
        </w:tc>
        <w:tc>
          <w:tcPr>
            <w:tcW w:w="1311" w:type="dxa"/>
            <w:tcBorders>
              <w:top w:val="nil"/>
              <w:left w:val="nil"/>
              <w:bottom w:val="single" w:color="auto" w:sz="4" w:space="0"/>
              <w:right w:val="single" w:color="auto" w:sz="4" w:space="0"/>
            </w:tcBorders>
            <w:noWrap w:val="0"/>
            <w:vAlign w:val="center"/>
          </w:tcPr>
          <w:p w14:paraId="66357700">
            <w:pPr>
              <w:keepNext w:val="0"/>
              <w:keepLines w:val="0"/>
              <w:widowControl/>
              <w:suppressLineNumbers w:val="0"/>
              <w:jc w:val="center"/>
              <w:textAlignment w:val="center"/>
              <w:rPr>
                <w:rFonts w:hint="default" w:ascii="仿宋" w:hAnsi="仿宋" w:eastAsia="仿宋" w:cs="仿宋"/>
                <w:color w:val="000000"/>
                <w:sz w:val="18"/>
                <w:szCs w:val="18"/>
                <w:highlight w:val="none"/>
                <w:lang w:val="en-US"/>
              </w:rPr>
            </w:pPr>
            <w:r>
              <w:rPr>
                <w:rFonts w:hint="eastAsia" w:ascii="仿宋" w:hAnsi="仿宋" w:eastAsia="仿宋" w:cs="仿宋"/>
                <w:i w:val="0"/>
                <w:iCs w:val="0"/>
                <w:color w:val="000000"/>
                <w:kern w:val="0"/>
                <w:sz w:val="18"/>
                <w:szCs w:val="18"/>
                <w:u w:val="none"/>
                <w:lang w:val="en-US" w:eastAsia="zh-CN" w:bidi="ar"/>
              </w:rPr>
              <w:t>35000</w:t>
            </w:r>
            <w:r>
              <w:rPr>
                <w:rFonts w:hint="eastAsia" w:eastAsia="仿宋" w:cs="仿宋"/>
                <w:i w:val="0"/>
                <w:iCs w:val="0"/>
                <w:color w:val="000000"/>
                <w:kern w:val="0"/>
                <w:sz w:val="18"/>
                <w:szCs w:val="18"/>
                <w:u w:val="none"/>
                <w:lang w:val="en-US" w:eastAsia="zh-CN" w:bidi="ar"/>
              </w:rPr>
              <w:t>人次</w:t>
            </w:r>
          </w:p>
        </w:tc>
        <w:tc>
          <w:tcPr>
            <w:tcW w:w="1269" w:type="dxa"/>
            <w:tcBorders>
              <w:top w:val="nil"/>
              <w:left w:val="nil"/>
              <w:bottom w:val="single" w:color="auto" w:sz="4" w:space="0"/>
              <w:right w:val="single" w:color="auto" w:sz="4" w:space="0"/>
            </w:tcBorders>
            <w:noWrap w:val="0"/>
            <w:vAlign w:val="center"/>
          </w:tcPr>
          <w:p w14:paraId="60F657BD">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_GB2312" w:hAnsi="仿宋_GB2312" w:eastAsia="仿宋_GB2312" w:cs="仿宋_GB2312"/>
                <w:color w:val="000000"/>
                <w:sz w:val="20"/>
                <w:szCs w:val="20"/>
                <w:highlight w:val="none"/>
                <w:lang w:eastAsia="zh-CN"/>
              </w:rPr>
              <w:t>57167</w:t>
            </w:r>
            <w:r>
              <w:rPr>
                <w:rFonts w:hint="eastAsia" w:eastAsia="仿宋" w:cs="仿宋"/>
                <w:i w:val="0"/>
                <w:iCs w:val="0"/>
                <w:color w:val="000000"/>
                <w:kern w:val="0"/>
                <w:sz w:val="18"/>
                <w:szCs w:val="18"/>
                <w:u w:val="none"/>
                <w:lang w:val="en-US" w:eastAsia="zh-CN" w:bidi="ar"/>
              </w:rPr>
              <w:t>人次</w:t>
            </w:r>
          </w:p>
        </w:tc>
        <w:tc>
          <w:tcPr>
            <w:tcW w:w="716" w:type="dxa"/>
            <w:tcBorders>
              <w:top w:val="nil"/>
              <w:left w:val="nil"/>
              <w:bottom w:val="single" w:color="auto" w:sz="4" w:space="0"/>
              <w:right w:val="single" w:color="auto" w:sz="4" w:space="0"/>
            </w:tcBorders>
            <w:noWrap w:val="0"/>
            <w:vAlign w:val="center"/>
          </w:tcPr>
          <w:p w14:paraId="35376589">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29A8062C">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1182C804">
            <w:pPr>
              <w:widowControl/>
              <w:spacing w:line="240" w:lineRule="exact"/>
              <w:jc w:val="center"/>
              <w:rPr>
                <w:rFonts w:hint="eastAsia" w:ascii="仿宋" w:hAnsi="仿宋" w:eastAsia="仿宋" w:cs="仿宋"/>
                <w:color w:val="000000"/>
                <w:sz w:val="18"/>
                <w:szCs w:val="18"/>
                <w:highlight w:val="none"/>
              </w:rPr>
            </w:pPr>
          </w:p>
        </w:tc>
      </w:tr>
      <w:tr w14:paraId="65AAC80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6694E01">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C2DCD32">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4509BB7E">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7F4D853F">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人群化疗计划</w:t>
            </w:r>
          </w:p>
        </w:tc>
        <w:tc>
          <w:tcPr>
            <w:tcW w:w="1311" w:type="dxa"/>
            <w:tcBorders>
              <w:top w:val="nil"/>
              <w:left w:val="nil"/>
              <w:bottom w:val="single" w:color="auto" w:sz="4" w:space="0"/>
              <w:right w:val="single" w:color="auto" w:sz="4" w:space="0"/>
            </w:tcBorders>
            <w:noWrap w:val="0"/>
            <w:vAlign w:val="center"/>
          </w:tcPr>
          <w:p w14:paraId="532E0496">
            <w:pPr>
              <w:keepNext w:val="0"/>
              <w:keepLines w:val="0"/>
              <w:widowControl/>
              <w:suppressLineNumbers w:val="0"/>
              <w:jc w:val="center"/>
              <w:textAlignment w:val="center"/>
              <w:rPr>
                <w:rFonts w:hint="eastAsia" w:ascii="仿宋" w:hAnsi="仿宋" w:eastAsia="仿宋" w:cs="仿宋"/>
                <w:color w:val="000000"/>
                <w:sz w:val="18"/>
                <w:szCs w:val="18"/>
                <w:highlight w:val="none"/>
                <w:lang w:val="en-US"/>
              </w:rPr>
            </w:pPr>
            <w:r>
              <w:rPr>
                <w:rFonts w:hint="eastAsia" w:ascii="仿宋" w:hAnsi="仿宋" w:eastAsia="仿宋" w:cs="仿宋"/>
                <w:i w:val="0"/>
                <w:iCs w:val="0"/>
                <w:color w:val="000000"/>
                <w:kern w:val="0"/>
                <w:sz w:val="18"/>
                <w:szCs w:val="18"/>
                <w:u w:val="none"/>
                <w:lang w:val="en-US" w:eastAsia="zh-CN" w:bidi="ar"/>
              </w:rPr>
              <w:t>600</w:t>
            </w:r>
            <w:r>
              <w:rPr>
                <w:rFonts w:hint="eastAsia" w:eastAsia="仿宋" w:cs="仿宋"/>
                <w:i w:val="0"/>
                <w:iCs w:val="0"/>
                <w:color w:val="000000"/>
                <w:kern w:val="0"/>
                <w:sz w:val="18"/>
                <w:szCs w:val="18"/>
                <w:u w:val="none"/>
                <w:lang w:val="en-US" w:eastAsia="zh-CN" w:bidi="ar"/>
              </w:rPr>
              <w:t>人次</w:t>
            </w:r>
          </w:p>
        </w:tc>
        <w:tc>
          <w:tcPr>
            <w:tcW w:w="1269" w:type="dxa"/>
            <w:tcBorders>
              <w:top w:val="nil"/>
              <w:left w:val="nil"/>
              <w:bottom w:val="single" w:color="auto" w:sz="4" w:space="0"/>
              <w:right w:val="single" w:color="auto" w:sz="4" w:space="0"/>
            </w:tcBorders>
            <w:noWrap w:val="0"/>
            <w:vAlign w:val="center"/>
          </w:tcPr>
          <w:p w14:paraId="0F2F0B3D">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8</w:t>
            </w:r>
            <w:r>
              <w:rPr>
                <w:rFonts w:hint="eastAsia" w:eastAsia="仿宋" w:cs="仿宋"/>
                <w:i w:val="0"/>
                <w:iCs w:val="0"/>
                <w:color w:val="000000"/>
                <w:kern w:val="0"/>
                <w:sz w:val="18"/>
                <w:szCs w:val="18"/>
                <w:u w:val="none"/>
                <w:lang w:val="en-US" w:eastAsia="zh-CN" w:bidi="ar"/>
              </w:rPr>
              <w:t>59人次</w:t>
            </w:r>
          </w:p>
        </w:tc>
        <w:tc>
          <w:tcPr>
            <w:tcW w:w="716" w:type="dxa"/>
            <w:tcBorders>
              <w:top w:val="nil"/>
              <w:left w:val="nil"/>
              <w:bottom w:val="single" w:color="auto" w:sz="4" w:space="0"/>
              <w:right w:val="single" w:color="auto" w:sz="4" w:space="0"/>
            </w:tcBorders>
            <w:noWrap w:val="0"/>
            <w:vAlign w:val="center"/>
          </w:tcPr>
          <w:p w14:paraId="04B5E1CB">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6A1C75A3">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002753A4">
            <w:pPr>
              <w:widowControl/>
              <w:spacing w:line="240" w:lineRule="exact"/>
              <w:jc w:val="center"/>
              <w:rPr>
                <w:rFonts w:hint="eastAsia" w:ascii="仿宋" w:hAnsi="仿宋" w:eastAsia="仿宋" w:cs="仿宋"/>
                <w:color w:val="000000"/>
                <w:sz w:val="18"/>
                <w:szCs w:val="18"/>
                <w:highlight w:val="none"/>
              </w:rPr>
            </w:pPr>
          </w:p>
        </w:tc>
      </w:tr>
      <w:tr w14:paraId="411955B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3B34173">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2956A4A">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14:paraId="4E715D3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14:paraId="1AA398BC">
            <w:pPr>
              <w:keepNext w:val="0"/>
              <w:keepLines w:val="0"/>
              <w:widowControl/>
              <w:suppressLineNumbers w:val="0"/>
              <w:jc w:val="center"/>
              <w:textAlignment w:val="center"/>
              <w:rPr>
                <w:rFonts w:hint="eastAsia" w:ascii="仿宋" w:hAnsi="仿宋" w:eastAsia="仿宋" w:cs="仿宋"/>
                <w:color w:val="000000"/>
                <w:sz w:val="20"/>
                <w:szCs w:val="20"/>
                <w:highlight w:val="none"/>
              </w:rPr>
            </w:pPr>
            <w:r>
              <w:rPr>
                <w:rFonts w:hint="eastAsia" w:ascii="仿宋" w:hAnsi="仿宋" w:eastAsia="仿宋" w:cs="仿宋"/>
                <w:i w:val="0"/>
                <w:iCs w:val="0"/>
                <w:color w:val="000000"/>
                <w:kern w:val="0"/>
                <w:sz w:val="20"/>
                <w:szCs w:val="20"/>
                <w:u w:val="none"/>
                <w:lang w:val="en-US" w:eastAsia="zh-CN" w:bidi="ar"/>
              </w:rPr>
              <w:t>血防知识知晓率</w:t>
            </w:r>
          </w:p>
        </w:tc>
        <w:tc>
          <w:tcPr>
            <w:tcW w:w="1311" w:type="dxa"/>
            <w:tcBorders>
              <w:top w:val="nil"/>
              <w:left w:val="nil"/>
              <w:bottom w:val="single" w:color="auto" w:sz="4" w:space="0"/>
              <w:right w:val="single" w:color="auto" w:sz="4" w:space="0"/>
            </w:tcBorders>
            <w:noWrap w:val="0"/>
            <w:vAlign w:val="center"/>
          </w:tcPr>
          <w:p w14:paraId="2208014D">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90%</w:t>
            </w:r>
          </w:p>
        </w:tc>
        <w:tc>
          <w:tcPr>
            <w:tcW w:w="1269" w:type="dxa"/>
            <w:tcBorders>
              <w:top w:val="nil"/>
              <w:left w:val="nil"/>
              <w:bottom w:val="single" w:color="auto" w:sz="4" w:space="0"/>
              <w:right w:val="single" w:color="auto" w:sz="4" w:space="0"/>
            </w:tcBorders>
            <w:noWrap w:val="0"/>
            <w:vAlign w:val="center"/>
          </w:tcPr>
          <w:p w14:paraId="56BF032C">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95%</w:t>
            </w:r>
          </w:p>
        </w:tc>
        <w:tc>
          <w:tcPr>
            <w:tcW w:w="716" w:type="dxa"/>
            <w:tcBorders>
              <w:top w:val="nil"/>
              <w:left w:val="nil"/>
              <w:bottom w:val="single" w:color="auto" w:sz="4" w:space="0"/>
              <w:right w:val="single" w:color="auto" w:sz="4" w:space="0"/>
            </w:tcBorders>
            <w:noWrap w:val="0"/>
            <w:vAlign w:val="center"/>
          </w:tcPr>
          <w:p w14:paraId="0D3B49A8">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43BC02E3">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1E41510D">
            <w:pPr>
              <w:widowControl/>
              <w:spacing w:line="240" w:lineRule="exact"/>
              <w:jc w:val="center"/>
              <w:rPr>
                <w:rFonts w:hint="eastAsia" w:ascii="仿宋" w:hAnsi="仿宋" w:eastAsia="仿宋" w:cs="仿宋"/>
                <w:color w:val="000000"/>
                <w:sz w:val="18"/>
                <w:szCs w:val="18"/>
                <w:highlight w:val="none"/>
              </w:rPr>
            </w:pPr>
          </w:p>
        </w:tc>
      </w:tr>
      <w:tr w14:paraId="3437DC8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995021C">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5528B26">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19EEA7A0">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0B62C129">
            <w:pPr>
              <w:keepNext w:val="0"/>
              <w:keepLines w:val="0"/>
              <w:widowControl/>
              <w:suppressLineNumbers w:val="0"/>
              <w:jc w:val="center"/>
              <w:textAlignment w:val="center"/>
              <w:rPr>
                <w:rFonts w:hint="eastAsia" w:ascii="仿宋" w:hAnsi="仿宋" w:eastAsia="仿宋" w:cs="仿宋"/>
                <w:color w:val="000000"/>
                <w:sz w:val="20"/>
                <w:szCs w:val="20"/>
                <w:highlight w:val="none"/>
              </w:rPr>
            </w:pPr>
            <w:r>
              <w:rPr>
                <w:rFonts w:hint="eastAsia" w:ascii="仿宋" w:hAnsi="仿宋" w:eastAsia="仿宋" w:cs="仿宋"/>
                <w:i w:val="0"/>
                <w:iCs w:val="0"/>
                <w:color w:val="000000"/>
                <w:kern w:val="0"/>
                <w:sz w:val="20"/>
                <w:szCs w:val="20"/>
                <w:u w:val="none"/>
                <w:lang w:val="en-US" w:eastAsia="zh-CN" w:bidi="ar"/>
              </w:rPr>
              <w:t>达标资料完成率</w:t>
            </w:r>
          </w:p>
        </w:tc>
        <w:tc>
          <w:tcPr>
            <w:tcW w:w="1311" w:type="dxa"/>
            <w:tcBorders>
              <w:top w:val="nil"/>
              <w:left w:val="nil"/>
              <w:bottom w:val="single" w:color="auto" w:sz="4" w:space="0"/>
              <w:right w:val="single" w:color="auto" w:sz="4" w:space="0"/>
            </w:tcBorders>
            <w:noWrap w:val="0"/>
            <w:vAlign w:val="center"/>
          </w:tcPr>
          <w:p w14:paraId="37DA98CE">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14:paraId="3927D27A">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100%</w:t>
            </w:r>
          </w:p>
        </w:tc>
        <w:tc>
          <w:tcPr>
            <w:tcW w:w="716" w:type="dxa"/>
            <w:tcBorders>
              <w:top w:val="nil"/>
              <w:left w:val="nil"/>
              <w:bottom w:val="single" w:color="auto" w:sz="4" w:space="0"/>
              <w:right w:val="single" w:color="auto" w:sz="4" w:space="0"/>
            </w:tcBorders>
            <w:noWrap w:val="0"/>
            <w:vAlign w:val="center"/>
          </w:tcPr>
          <w:p w14:paraId="30CD427A">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27F9AC52">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34D277C1">
            <w:pPr>
              <w:widowControl/>
              <w:spacing w:line="240" w:lineRule="exact"/>
              <w:jc w:val="center"/>
              <w:rPr>
                <w:rFonts w:hint="eastAsia" w:ascii="仿宋" w:hAnsi="仿宋" w:eastAsia="仿宋" w:cs="仿宋"/>
                <w:color w:val="000000"/>
                <w:sz w:val="18"/>
                <w:szCs w:val="18"/>
                <w:highlight w:val="none"/>
              </w:rPr>
            </w:pPr>
          </w:p>
        </w:tc>
      </w:tr>
      <w:tr w14:paraId="7ED147E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97C548A">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409C04E">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032925A1">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52700716">
            <w:pPr>
              <w:keepNext w:val="0"/>
              <w:keepLines w:val="0"/>
              <w:widowControl/>
              <w:suppressLineNumbers w:val="0"/>
              <w:jc w:val="center"/>
              <w:textAlignment w:val="center"/>
              <w:rPr>
                <w:rFonts w:hint="eastAsia" w:ascii="仿宋" w:hAnsi="仿宋" w:eastAsia="仿宋" w:cs="仿宋"/>
                <w:color w:val="000000"/>
                <w:sz w:val="20"/>
                <w:szCs w:val="20"/>
                <w:highlight w:val="none"/>
              </w:rPr>
            </w:pPr>
            <w:r>
              <w:rPr>
                <w:rFonts w:hint="eastAsia" w:ascii="仿宋" w:hAnsi="仿宋" w:eastAsia="仿宋" w:cs="仿宋"/>
                <w:i w:val="0"/>
                <w:iCs w:val="0"/>
                <w:color w:val="000000"/>
                <w:kern w:val="0"/>
                <w:sz w:val="20"/>
                <w:szCs w:val="20"/>
                <w:u w:val="none"/>
                <w:lang w:val="en-US" w:eastAsia="zh-CN" w:bidi="ar"/>
              </w:rPr>
              <w:t>疫情达标评估验收通过率</w:t>
            </w:r>
          </w:p>
        </w:tc>
        <w:tc>
          <w:tcPr>
            <w:tcW w:w="1311" w:type="dxa"/>
            <w:tcBorders>
              <w:top w:val="nil"/>
              <w:left w:val="nil"/>
              <w:bottom w:val="single" w:color="auto" w:sz="4" w:space="0"/>
              <w:right w:val="single" w:color="auto" w:sz="4" w:space="0"/>
            </w:tcBorders>
            <w:noWrap w:val="0"/>
            <w:vAlign w:val="center"/>
          </w:tcPr>
          <w:p w14:paraId="11BE9BA6">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14:paraId="06156FAB">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100%</w:t>
            </w:r>
          </w:p>
        </w:tc>
        <w:tc>
          <w:tcPr>
            <w:tcW w:w="716" w:type="dxa"/>
            <w:tcBorders>
              <w:top w:val="nil"/>
              <w:left w:val="nil"/>
              <w:bottom w:val="single" w:color="auto" w:sz="4" w:space="0"/>
              <w:right w:val="single" w:color="auto" w:sz="4" w:space="0"/>
            </w:tcBorders>
            <w:noWrap w:val="0"/>
            <w:vAlign w:val="center"/>
          </w:tcPr>
          <w:p w14:paraId="405A9DDC">
            <w:pPr>
              <w:widowControl/>
              <w:spacing w:line="240" w:lineRule="exact"/>
              <w:jc w:val="center"/>
              <w:rPr>
                <w:rFonts w:hint="eastAsia" w:ascii="仿宋" w:hAnsi="仿宋" w:eastAsia="仿宋" w:cs="仿宋"/>
                <w:color w:val="000000"/>
                <w:sz w:val="18"/>
                <w:szCs w:val="18"/>
                <w:highlight w:val="none"/>
                <w:lang w:val="en-US" w:eastAsia="zh-CN"/>
              </w:rPr>
            </w:pPr>
            <w:r>
              <w:rPr>
                <w:rFonts w:hint="eastAsia"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19E22A67">
            <w:pPr>
              <w:widowControl/>
              <w:spacing w:line="240" w:lineRule="exact"/>
              <w:jc w:val="center"/>
              <w:rPr>
                <w:rFonts w:hint="eastAsia" w:ascii="仿宋" w:hAnsi="仿宋" w:eastAsia="仿宋" w:cs="仿宋"/>
                <w:color w:val="000000"/>
                <w:sz w:val="18"/>
                <w:szCs w:val="18"/>
                <w:highlight w:val="none"/>
                <w:lang w:val="en-US" w:eastAsia="zh-CN"/>
              </w:rPr>
            </w:pPr>
            <w:r>
              <w:rPr>
                <w:rFonts w:hint="eastAsia"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0B7822D2">
            <w:pPr>
              <w:widowControl/>
              <w:spacing w:line="240" w:lineRule="exact"/>
              <w:jc w:val="center"/>
              <w:rPr>
                <w:rFonts w:hint="eastAsia" w:ascii="仿宋" w:hAnsi="仿宋" w:eastAsia="仿宋" w:cs="仿宋"/>
                <w:color w:val="000000"/>
                <w:sz w:val="18"/>
                <w:szCs w:val="18"/>
                <w:highlight w:val="none"/>
              </w:rPr>
            </w:pPr>
          </w:p>
        </w:tc>
      </w:tr>
      <w:tr w14:paraId="001075D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22386F3">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66E906C">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14:paraId="58AA20DE">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成本指标</w:t>
            </w:r>
          </w:p>
        </w:tc>
        <w:tc>
          <w:tcPr>
            <w:tcW w:w="1270" w:type="dxa"/>
            <w:tcBorders>
              <w:top w:val="nil"/>
              <w:left w:val="single" w:color="auto" w:sz="4" w:space="0"/>
              <w:bottom w:val="single" w:color="auto" w:sz="4" w:space="0"/>
              <w:right w:val="single" w:color="auto" w:sz="4" w:space="0"/>
            </w:tcBorders>
            <w:noWrap w:val="0"/>
            <w:vAlign w:val="center"/>
          </w:tcPr>
          <w:p w14:paraId="27A2DC33">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经济成本指标</w:t>
            </w:r>
          </w:p>
        </w:tc>
        <w:tc>
          <w:tcPr>
            <w:tcW w:w="1311" w:type="dxa"/>
            <w:tcBorders>
              <w:top w:val="nil"/>
              <w:left w:val="nil"/>
              <w:bottom w:val="single" w:color="auto" w:sz="4" w:space="0"/>
              <w:right w:val="single" w:color="auto" w:sz="4" w:space="0"/>
            </w:tcBorders>
            <w:noWrap w:val="0"/>
            <w:vAlign w:val="center"/>
          </w:tcPr>
          <w:p w14:paraId="54F04F68">
            <w:pPr>
              <w:widowControl/>
              <w:spacing w:line="240" w:lineRule="exact"/>
              <w:jc w:val="center"/>
              <w:rPr>
                <w:rFonts w:hint="default" w:ascii="仿宋" w:hAnsi="仿宋" w:eastAsia="仿宋" w:cs="仿宋"/>
                <w:color w:val="000000"/>
                <w:sz w:val="18"/>
                <w:szCs w:val="18"/>
                <w:highlight w:val="none"/>
                <w:lang w:val="en-US" w:eastAsia="zh-CN"/>
              </w:rPr>
            </w:pPr>
            <w:r>
              <w:rPr>
                <w:rFonts w:hint="eastAsia" w:ascii="仿宋_GB2312" w:hAnsi="仿宋_GB2312" w:eastAsia="仿宋_GB2312" w:cs="仿宋_GB2312"/>
                <w:sz w:val="18"/>
                <w:szCs w:val="18"/>
                <w:highlight w:val="none"/>
                <w:lang w:val="en-US" w:eastAsia="zh-CN"/>
              </w:rPr>
              <w:t>346.53万元</w:t>
            </w:r>
          </w:p>
        </w:tc>
        <w:tc>
          <w:tcPr>
            <w:tcW w:w="1269" w:type="dxa"/>
            <w:tcBorders>
              <w:top w:val="nil"/>
              <w:left w:val="nil"/>
              <w:bottom w:val="single" w:color="auto" w:sz="4" w:space="0"/>
              <w:right w:val="single" w:color="auto" w:sz="4" w:space="0"/>
            </w:tcBorders>
            <w:noWrap w:val="0"/>
            <w:vAlign w:val="center"/>
          </w:tcPr>
          <w:p w14:paraId="1B8E12EC">
            <w:pPr>
              <w:widowControl/>
              <w:spacing w:line="240" w:lineRule="exact"/>
              <w:jc w:val="center"/>
              <w:rPr>
                <w:rFonts w:hint="default" w:ascii="仿宋" w:hAnsi="仿宋" w:eastAsia="仿宋" w:cs="仿宋"/>
                <w:color w:val="000000"/>
                <w:sz w:val="18"/>
                <w:szCs w:val="18"/>
                <w:highlight w:val="none"/>
                <w:lang w:val="en-US" w:eastAsia="zh-CN"/>
              </w:rPr>
            </w:pPr>
            <w:r>
              <w:rPr>
                <w:rFonts w:hint="eastAsia" w:ascii="仿宋_GB2312" w:hAnsi="仿宋_GB2312" w:eastAsia="仿宋_GB2312" w:cs="仿宋_GB2312"/>
                <w:sz w:val="18"/>
                <w:szCs w:val="18"/>
                <w:highlight w:val="none"/>
                <w:lang w:val="en-US" w:eastAsia="zh-CN"/>
              </w:rPr>
              <w:t>338.93万元</w:t>
            </w:r>
          </w:p>
        </w:tc>
        <w:tc>
          <w:tcPr>
            <w:tcW w:w="716" w:type="dxa"/>
            <w:tcBorders>
              <w:top w:val="nil"/>
              <w:left w:val="nil"/>
              <w:bottom w:val="single" w:color="auto" w:sz="4" w:space="0"/>
              <w:right w:val="single" w:color="auto" w:sz="4" w:space="0"/>
            </w:tcBorders>
            <w:noWrap w:val="0"/>
            <w:vAlign w:val="center"/>
          </w:tcPr>
          <w:p w14:paraId="6D16D70F">
            <w:pPr>
              <w:widowControl/>
              <w:spacing w:line="240" w:lineRule="exact"/>
              <w:jc w:val="center"/>
              <w:rPr>
                <w:rFonts w:hint="default" w:ascii="仿宋" w:hAnsi="仿宋" w:eastAsia="仿宋" w:cs="仿宋"/>
                <w:color w:val="000000"/>
                <w:sz w:val="18"/>
                <w:szCs w:val="18"/>
                <w:highlight w:val="none"/>
                <w:lang w:val="en-US" w:eastAsia="zh-CN"/>
              </w:rPr>
            </w:pPr>
            <w:r>
              <w:rPr>
                <w:rFonts w:hint="eastAsia" w:eastAsia="仿宋" w:cs="仿宋"/>
                <w:color w:val="000000"/>
                <w:sz w:val="18"/>
                <w:szCs w:val="18"/>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5A0B9248">
            <w:pPr>
              <w:widowControl/>
              <w:spacing w:line="240" w:lineRule="exact"/>
              <w:jc w:val="center"/>
              <w:rPr>
                <w:rFonts w:hint="default" w:ascii="仿宋" w:hAnsi="仿宋" w:eastAsia="仿宋" w:cs="仿宋"/>
                <w:color w:val="000000"/>
                <w:sz w:val="18"/>
                <w:szCs w:val="18"/>
                <w:highlight w:val="none"/>
                <w:lang w:val="en-US" w:eastAsia="zh-CN"/>
              </w:rPr>
            </w:pPr>
            <w:r>
              <w:rPr>
                <w:rFonts w:hint="eastAsia" w:eastAsia="仿宋" w:cs="仿宋"/>
                <w:color w:val="000000"/>
                <w:sz w:val="18"/>
                <w:szCs w:val="18"/>
                <w:highlight w:val="none"/>
                <w:lang w:val="en-US" w:eastAsia="zh-CN"/>
              </w:rPr>
              <w:t>5</w:t>
            </w:r>
          </w:p>
        </w:tc>
        <w:tc>
          <w:tcPr>
            <w:tcW w:w="1446" w:type="dxa"/>
            <w:tcBorders>
              <w:top w:val="nil"/>
              <w:left w:val="nil"/>
              <w:bottom w:val="single" w:color="auto" w:sz="4" w:space="0"/>
              <w:right w:val="single" w:color="auto" w:sz="4" w:space="0"/>
            </w:tcBorders>
            <w:noWrap w:val="0"/>
            <w:vAlign w:val="center"/>
          </w:tcPr>
          <w:p w14:paraId="312B3C21">
            <w:pPr>
              <w:widowControl/>
              <w:spacing w:line="240" w:lineRule="exact"/>
              <w:jc w:val="center"/>
              <w:rPr>
                <w:rFonts w:hint="eastAsia" w:ascii="仿宋" w:hAnsi="仿宋" w:eastAsia="仿宋" w:cs="仿宋"/>
                <w:color w:val="000000"/>
                <w:sz w:val="18"/>
                <w:szCs w:val="18"/>
                <w:highlight w:val="none"/>
              </w:rPr>
            </w:pPr>
          </w:p>
        </w:tc>
      </w:tr>
      <w:tr w14:paraId="1FDD95A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3C4CDD8">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9963C64">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75725815">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single" w:color="auto" w:sz="4" w:space="0"/>
              <w:bottom w:val="single" w:color="auto" w:sz="4" w:space="0"/>
              <w:right w:val="single" w:color="auto" w:sz="4" w:space="0"/>
            </w:tcBorders>
            <w:noWrap w:val="0"/>
            <w:vAlign w:val="center"/>
          </w:tcPr>
          <w:p w14:paraId="1A7662AD">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361DD0ED">
            <w:pPr>
              <w:widowControl/>
              <w:spacing w:line="240" w:lineRule="exact"/>
              <w:jc w:val="center"/>
              <w:rPr>
                <w:rFonts w:hint="eastAsia" w:ascii="仿宋" w:hAnsi="仿宋" w:eastAsia="仿宋" w:cs="仿宋"/>
                <w:color w:val="000000"/>
                <w:sz w:val="18"/>
                <w:szCs w:val="18"/>
                <w:highlight w:val="none"/>
                <w:lang w:val="en-US" w:eastAsia="zh-CN"/>
              </w:rPr>
            </w:pPr>
          </w:p>
        </w:tc>
        <w:tc>
          <w:tcPr>
            <w:tcW w:w="1269" w:type="dxa"/>
            <w:tcBorders>
              <w:top w:val="nil"/>
              <w:left w:val="nil"/>
              <w:bottom w:val="single" w:color="auto" w:sz="4" w:space="0"/>
              <w:right w:val="single" w:color="auto" w:sz="4" w:space="0"/>
            </w:tcBorders>
            <w:noWrap w:val="0"/>
            <w:vAlign w:val="center"/>
          </w:tcPr>
          <w:p w14:paraId="738A38B5">
            <w:pPr>
              <w:widowControl/>
              <w:spacing w:line="240" w:lineRule="exact"/>
              <w:jc w:val="center"/>
              <w:rPr>
                <w:rFonts w:hint="eastAsia" w:ascii="仿宋" w:hAnsi="仿宋" w:eastAsia="仿宋" w:cs="仿宋"/>
                <w:color w:val="000000"/>
                <w:sz w:val="18"/>
                <w:szCs w:val="18"/>
                <w:highlight w:val="none"/>
                <w:lang w:val="en-US" w:eastAsia="zh-CN"/>
              </w:rPr>
            </w:pPr>
          </w:p>
        </w:tc>
        <w:tc>
          <w:tcPr>
            <w:tcW w:w="716" w:type="dxa"/>
            <w:tcBorders>
              <w:top w:val="nil"/>
              <w:left w:val="nil"/>
              <w:bottom w:val="single" w:color="auto" w:sz="4" w:space="0"/>
              <w:right w:val="single" w:color="auto" w:sz="4" w:space="0"/>
            </w:tcBorders>
            <w:noWrap w:val="0"/>
            <w:vAlign w:val="center"/>
          </w:tcPr>
          <w:p w14:paraId="4BF128B6">
            <w:pPr>
              <w:widowControl/>
              <w:spacing w:line="240" w:lineRule="exact"/>
              <w:jc w:val="center"/>
              <w:rPr>
                <w:rFonts w:hint="eastAsia" w:ascii="仿宋" w:hAnsi="仿宋" w:eastAsia="仿宋" w:cs="仿宋"/>
                <w:color w:val="000000"/>
                <w:sz w:val="18"/>
                <w:szCs w:val="18"/>
                <w:highlight w:val="none"/>
                <w:lang w:val="en-US" w:eastAsia="zh-CN"/>
              </w:rPr>
            </w:pPr>
          </w:p>
        </w:tc>
        <w:tc>
          <w:tcPr>
            <w:tcW w:w="873" w:type="dxa"/>
            <w:tcBorders>
              <w:top w:val="nil"/>
              <w:left w:val="nil"/>
              <w:bottom w:val="single" w:color="auto" w:sz="4" w:space="0"/>
              <w:right w:val="single" w:color="auto" w:sz="4" w:space="0"/>
            </w:tcBorders>
            <w:noWrap w:val="0"/>
            <w:vAlign w:val="center"/>
          </w:tcPr>
          <w:p w14:paraId="36B6C4C2">
            <w:pPr>
              <w:widowControl/>
              <w:spacing w:line="240" w:lineRule="exact"/>
              <w:jc w:val="center"/>
              <w:rPr>
                <w:rFonts w:hint="eastAsia" w:ascii="仿宋" w:hAnsi="仿宋" w:eastAsia="仿宋" w:cs="仿宋"/>
                <w:color w:val="000000"/>
                <w:sz w:val="18"/>
                <w:szCs w:val="18"/>
                <w:highlight w:val="none"/>
                <w:lang w:val="en-US" w:eastAsia="zh-CN"/>
              </w:rPr>
            </w:pPr>
          </w:p>
        </w:tc>
        <w:tc>
          <w:tcPr>
            <w:tcW w:w="1446" w:type="dxa"/>
            <w:tcBorders>
              <w:top w:val="nil"/>
              <w:left w:val="nil"/>
              <w:bottom w:val="single" w:color="auto" w:sz="4" w:space="0"/>
              <w:right w:val="single" w:color="auto" w:sz="4" w:space="0"/>
            </w:tcBorders>
            <w:noWrap w:val="0"/>
            <w:vAlign w:val="center"/>
          </w:tcPr>
          <w:p w14:paraId="1182195A">
            <w:pPr>
              <w:widowControl/>
              <w:spacing w:line="240" w:lineRule="exact"/>
              <w:jc w:val="center"/>
              <w:rPr>
                <w:rFonts w:hint="eastAsia" w:ascii="仿宋" w:hAnsi="仿宋" w:eastAsia="仿宋" w:cs="仿宋"/>
                <w:color w:val="000000"/>
                <w:sz w:val="18"/>
                <w:szCs w:val="18"/>
                <w:highlight w:val="none"/>
              </w:rPr>
            </w:pPr>
          </w:p>
        </w:tc>
      </w:tr>
      <w:tr w14:paraId="6A91487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5682532">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7AD22AF">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105FCD40">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single" w:color="auto" w:sz="4" w:space="0"/>
              <w:bottom w:val="single" w:color="auto" w:sz="4" w:space="0"/>
              <w:right w:val="single" w:color="auto" w:sz="4" w:space="0"/>
            </w:tcBorders>
            <w:noWrap w:val="0"/>
            <w:vAlign w:val="center"/>
          </w:tcPr>
          <w:p w14:paraId="231FB3B9">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63CF6722">
            <w:pPr>
              <w:widowControl/>
              <w:spacing w:line="240" w:lineRule="exact"/>
              <w:jc w:val="center"/>
              <w:rPr>
                <w:rFonts w:hint="eastAsia" w:ascii="仿宋" w:hAnsi="仿宋" w:eastAsia="仿宋" w:cs="仿宋"/>
                <w:color w:val="000000"/>
                <w:sz w:val="18"/>
                <w:szCs w:val="18"/>
                <w:highlight w:val="none"/>
                <w:lang w:val="en-US" w:eastAsia="zh-CN"/>
              </w:rPr>
            </w:pPr>
          </w:p>
        </w:tc>
        <w:tc>
          <w:tcPr>
            <w:tcW w:w="1269" w:type="dxa"/>
            <w:tcBorders>
              <w:top w:val="nil"/>
              <w:left w:val="nil"/>
              <w:bottom w:val="single" w:color="auto" w:sz="4" w:space="0"/>
              <w:right w:val="single" w:color="auto" w:sz="4" w:space="0"/>
            </w:tcBorders>
            <w:noWrap w:val="0"/>
            <w:vAlign w:val="center"/>
          </w:tcPr>
          <w:p w14:paraId="1D32444A">
            <w:pPr>
              <w:widowControl/>
              <w:spacing w:line="240" w:lineRule="exact"/>
              <w:jc w:val="center"/>
              <w:rPr>
                <w:rFonts w:hint="eastAsia" w:ascii="仿宋" w:hAnsi="仿宋" w:eastAsia="仿宋" w:cs="仿宋"/>
                <w:color w:val="000000"/>
                <w:sz w:val="18"/>
                <w:szCs w:val="18"/>
                <w:highlight w:val="none"/>
                <w:lang w:val="en-US" w:eastAsia="zh-CN"/>
              </w:rPr>
            </w:pPr>
          </w:p>
        </w:tc>
        <w:tc>
          <w:tcPr>
            <w:tcW w:w="716" w:type="dxa"/>
            <w:tcBorders>
              <w:top w:val="nil"/>
              <w:left w:val="nil"/>
              <w:bottom w:val="single" w:color="auto" w:sz="4" w:space="0"/>
              <w:right w:val="single" w:color="auto" w:sz="4" w:space="0"/>
            </w:tcBorders>
            <w:noWrap w:val="0"/>
            <w:vAlign w:val="center"/>
          </w:tcPr>
          <w:p w14:paraId="712329B9">
            <w:pPr>
              <w:widowControl/>
              <w:spacing w:line="240" w:lineRule="exact"/>
              <w:jc w:val="center"/>
              <w:rPr>
                <w:rFonts w:hint="eastAsia" w:ascii="仿宋" w:hAnsi="仿宋" w:eastAsia="仿宋" w:cs="仿宋"/>
                <w:color w:val="000000"/>
                <w:sz w:val="18"/>
                <w:szCs w:val="18"/>
                <w:highlight w:val="none"/>
                <w:lang w:val="en-US" w:eastAsia="zh-CN"/>
              </w:rPr>
            </w:pPr>
          </w:p>
        </w:tc>
        <w:tc>
          <w:tcPr>
            <w:tcW w:w="873" w:type="dxa"/>
            <w:tcBorders>
              <w:top w:val="nil"/>
              <w:left w:val="nil"/>
              <w:bottom w:val="single" w:color="auto" w:sz="4" w:space="0"/>
              <w:right w:val="single" w:color="auto" w:sz="4" w:space="0"/>
            </w:tcBorders>
            <w:noWrap w:val="0"/>
            <w:vAlign w:val="center"/>
          </w:tcPr>
          <w:p w14:paraId="4BEDDA37">
            <w:pPr>
              <w:widowControl/>
              <w:spacing w:line="240" w:lineRule="exact"/>
              <w:jc w:val="center"/>
              <w:rPr>
                <w:rFonts w:hint="eastAsia" w:ascii="仿宋" w:hAnsi="仿宋" w:eastAsia="仿宋" w:cs="仿宋"/>
                <w:color w:val="000000"/>
                <w:sz w:val="18"/>
                <w:szCs w:val="18"/>
                <w:highlight w:val="none"/>
                <w:lang w:val="en-US" w:eastAsia="zh-CN"/>
              </w:rPr>
            </w:pPr>
          </w:p>
        </w:tc>
        <w:tc>
          <w:tcPr>
            <w:tcW w:w="1446" w:type="dxa"/>
            <w:tcBorders>
              <w:top w:val="nil"/>
              <w:left w:val="nil"/>
              <w:bottom w:val="single" w:color="auto" w:sz="4" w:space="0"/>
              <w:right w:val="single" w:color="auto" w:sz="4" w:space="0"/>
            </w:tcBorders>
            <w:noWrap w:val="0"/>
            <w:vAlign w:val="center"/>
          </w:tcPr>
          <w:p w14:paraId="5C15078C">
            <w:pPr>
              <w:widowControl/>
              <w:spacing w:line="240" w:lineRule="exact"/>
              <w:jc w:val="center"/>
              <w:rPr>
                <w:rFonts w:hint="eastAsia" w:ascii="仿宋" w:hAnsi="仿宋" w:eastAsia="仿宋" w:cs="仿宋"/>
                <w:color w:val="000000"/>
                <w:sz w:val="18"/>
                <w:szCs w:val="18"/>
                <w:highlight w:val="none"/>
              </w:rPr>
            </w:pPr>
          </w:p>
        </w:tc>
      </w:tr>
      <w:tr w14:paraId="7071956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41C8A98">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797EC65">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single" w:color="auto" w:sz="4" w:space="0"/>
              <w:left w:val="nil"/>
              <w:right w:val="single" w:color="auto" w:sz="4" w:space="0"/>
            </w:tcBorders>
            <w:noWrap w:val="0"/>
            <w:vAlign w:val="center"/>
          </w:tcPr>
          <w:p w14:paraId="50E7B00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single" w:color="auto" w:sz="4" w:space="0"/>
              <w:bottom w:val="single" w:color="auto" w:sz="4" w:space="0"/>
              <w:right w:val="single" w:color="auto" w:sz="4" w:space="0"/>
            </w:tcBorders>
            <w:noWrap w:val="0"/>
            <w:vAlign w:val="center"/>
          </w:tcPr>
          <w:p w14:paraId="46470DD8">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血吸虫病消除期</w:t>
            </w:r>
          </w:p>
        </w:tc>
        <w:tc>
          <w:tcPr>
            <w:tcW w:w="1311" w:type="dxa"/>
            <w:tcBorders>
              <w:top w:val="nil"/>
              <w:left w:val="nil"/>
              <w:bottom w:val="single" w:color="auto" w:sz="4" w:space="0"/>
              <w:right w:val="single" w:color="auto" w:sz="4" w:space="0"/>
            </w:tcBorders>
            <w:noWrap w:val="0"/>
            <w:vAlign w:val="center"/>
          </w:tcPr>
          <w:p w14:paraId="4685EF13">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14:paraId="0C4EABCA">
            <w:pPr>
              <w:widowControl/>
              <w:spacing w:line="240" w:lineRule="exact"/>
              <w:jc w:val="center"/>
              <w:rPr>
                <w:rFonts w:hint="eastAsia" w:ascii="仿宋" w:hAnsi="仿宋" w:eastAsia="仿宋" w:cs="仿宋"/>
                <w:color w:val="000000"/>
                <w:sz w:val="18"/>
                <w:szCs w:val="18"/>
                <w:highlight w:val="none"/>
                <w:lang w:eastAsia="zh-CN"/>
              </w:rPr>
            </w:pPr>
            <w:r>
              <w:rPr>
                <w:rFonts w:hint="eastAsia" w:ascii="仿宋" w:hAnsi="仿宋" w:eastAsia="仿宋" w:cs="仿宋"/>
                <w:color w:val="000000"/>
                <w:sz w:val="18"/>
                <w:szCs w:val="18"/>
                <w:highlight w:val="none"/>
                <w:lang w:val="en-US" w:eastAsia="zh-CN"/>
              </w:rPr>
              <w:t>完成</w:t>
            </w:r>
          </w:p>
        </w:tc>
        <w:tc>
          <w:tcPr>
            <w:tcW w:w="716" w:type="dxa"/>
            <w:tcBorders>
              <w:top w:val="nil"/>
              <w:left w:val="nil"/>
              <w:bottom w:val="single" w:color="auto" w:sz="4" w:space="0"/>
              <w:right w:val="single" w:color="auto" w:sz="4" w:space="0"/>
            </w:tcBorders>
            <w:noWrap w:val="0"/>
            <w:vAlign w:val="center"/>
          </w:tcPr>
          <w:p w14:paraId="163125FB">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w:t>
            </w:r>
          </w:p>
        </w:tc>
        <w:tc>
          <w:tcPr>
            <w:tcW w:w="873" w:type="dxa"/>
            <w:tcBorders>
              <w:top w:val="nil"/>
              <w:left w:val="nil"/>
              <w:bottom w:val="single" w:color="auto" w:sz="4" w:space="0"/>
              <w:right w:val="single" w:color="auto" w:sz="4" w:space="0"/>
            </w:tcBorders>
            <w:noWrap w:val="0"/>
            <w:vAlign w:val="center"/>
          </w:tcPr>
          <w:p w14:paraId="2B2D142F">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14:paraId="05064C2D">
            <w:pPr>
              <w:widowControl/>
              <w:spacing w:line="240" w:lineRule="exact"/>
              <w:jc w:val="center"/>
              <w:rPr>
                <w:rFonts w:hint="eastAsia" w:ascii="仿宋" w:hAnsi="仿宋" w:eastAsia="仿宋" w:cs="仿宋"/>
                <w:color w:val="000000"/>
                <w:sz w:val="18"/>
                <w:szCs w:val="18"/>
                <w:highlight w:val="none"/>
              </w:rPr>
            </w:pPr>
          </w:p>
        </w:tc>
      </w:tr>
      <w:tr w14:paraId="7224C89F">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FAD7F18">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C9587BB">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79241E53">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4C2F3B07">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0AE3914C">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4D296B47">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642B38A0">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7DFDD138">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0E716914">
            <w:pPr>
              <w:widowControl/>
              <w:spacing w:line="240" w:lineRule="exact"/>
              <w:jc w:val="center"/>
              <w:rPr>
                <w:rFonts w:hint="eastAsia" w:ascii="仿宋" w:hAnsi="仿宋" w:eastAsia="仿宋" w:cs="仿宋"/>
                <w:color w:val="000000"/>
                <w:sz w:val="18"/>
                <w:szCs w:val="18"/>
                <w:highlight w:val="none"/>
              </w:rPr>
            </w:pPr>
          </w:p>
        </w:tc>
      </w:tr>
      <w:tr w14:paraId="08F0E66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39B8D48">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5523415B">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24570025">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0950DF4D">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14:paraId="60B61469">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655B8C5F">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704C9113">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7FD07200">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39704694">
            <w:pPr>
              <w:widowControl/>
              <w:spacing w:line="240" w:lineRule="exact"/>
              <w:jc w:val="center"/>
              <w:rPr>
                <w:rFonts w:hint="eastAsia" w:ascii="仿宋" w:hAnsi="仿宋" w:eastAsia="仿宋" w:cs="仿宋"/>
                <w:color w:val="000000"/>
                <w:sz w:val="18"/>
                <w:szCs w:val="18"/>
                <w:highlight w:val="none"/>
              </w:rPr>
            </w:pPr>
          </w:p>
        </w:tc>
      </w:tr>
      <w:tr w14:paraId="1E95249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50A27D1">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nil"/>
              <w:right w:val="single" w:color="auto" w:sz="4" w:space="0"/>
            </w:tcBorders>
            <w:noWrap w:val="0"/>
            <w:vAlign w:val="center"/>
          </w:tcPr>
          <w:p w14:paraId="7714A6F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2C555178">
            <w:pPr>
              <w:widowControl/>
              <w:spacing w:line="240" w:lineRule="exact"/>
              <w:jc w:val="left"/>
              <w:rPr>
                <w:rFonts w:hint="eastAsia" w:ascii="仿宋_GB2312" w:hAnsi="仿宋_GB2312" w:eastAsia="仿宋_GB2312" w:cs="仿宋_GB2312"/>
                <w:color w:val="000000"/>
                <w:sz w:val="20"/>
                <w:szCs w:val="20"/>
                <w:highlight w:val="none"/>
              </w:rPr>
            </w:pPr>
          </w:p>
          <w:p w14:paraId="6A7EB3C4">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7D374403">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vMerge w:val="restart"/>
            <w:tcBorders>
              <w:top w:val="single" w:color="auto" w:sz="4" w:space="0"/>
              <w:left w:val="nil"/>
              <w:right w:val="single" w:color="auto" w:sz="4" w:space="0"/>
            </w:tcBorders>
            <w:noWrap w:val="0"/>
            <w:vAlign w:val="center"/>
          </w:tcPr>
          <w:p w14:paraId="79463D3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20D2070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14:paraId="5E7528DF">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促进辖区经济发展</w:t>
            </w:r>
          </w:p>
        </w:tc>
        <w:tc>
          <w:tcPr>
            <w:tcW w:w="1311" w:type="dxa"/>
            <w:tcBorders>
              <w:top w:val="nil"/>
              <w:left w:val="nil"/>
              <w:bottom w:val="single" w:color="auto" w:sz="4" w:space="0"/>
              <w:right w:val="single" w:color="auto" w:sz="4" w:space="0"/>
            </w:tcBorders>
            <w:noWrap w:val="0"/>
            <w:vAlign w:val="center"/>
          </w:tcPr>
          <w:p w14:paraId="011A9B46">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定性</w:t>
            </w:r>
          </w:p>
        </w:tc>
        <w:tc>
          <w:tcPr>
            <w:tcW w:w="1269" w:type="dxa"/>
            <w:tcBorders>
              <w:top w:val="nil"/>
              <w:left w:val="nil"/>
              <w:bottom w:val="single" w:color="auto" w:sz="4" w:space="0"/>
              <w:right w:val="single" w:color="auto" w:sz="4" w:space="0"/>
            </w:tcBorders>
            <w:noWrap w:val="0"/>
            <w:vAlign w:val="center"/>
          </w:tcPr>
          <w:p w14:paraId="69AA02DE">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促进</w:t>
            </w:r>
          </w:p>
        </w:tc>
        <w:tc>
          <w:tcPr>
            <w:tcW w:w="716" w:type="dxa"/>
            <w:tcBorders>
              <w:top w:val="nil"/>
              <w:left w:val="nil"/>
              <w:bottom w:val="single" w:color="auto" w:sz="4" w:space="0"/>
              <w:right w:val="single" w:color="auto" w:sz="4" w:space="0"/>
            </w:tcBorders>
            <w:noWrap w:val="0"/>
            <w:vAlign w:val="center"/>
          </w:tcPr>
          <w:p w14:paraId="055636D4">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7.5</w:t>
            </w:r>
          </w:p>
        </w:tc>
        <w:tc>
          <w:tcPr>
            <w:tcW w:w="873" w:type="dxa"/>
            <w:tcBorders>
              <w:top w:val="nil"/>
              <w:left w:val="nil"/>
              <w:bottom w:val="single" w:color="auto" w:sz="4" w:space="0"/>
              <w:right w:val="single" w:color="auto" w:sz="4" w:space="0"/>
            </w:tcBorders>
            <w:noWrap w:val="0"/>
            <w:vAlign w:val="center"/>
          </w:tcPr>
          <w:p w14:paraId="76139378">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7.5</w:t>
            </w:r>
          </w:p>
        </w:tc>
        <w:tc>
          <w:tcPr>
            <w:tcW w:w="1446" w:type="dxa"/>
            <w:tcBorders>
              <w:top w:val="nil"/>
              <w:left w:val="nil"/>
              <w:bottom w:val="single" w:color="auto" w:sz="4" w:space="0"/>
              <w:right w:val="single" w:color="auto" w:sz="4" w:space="0"/>
            </w:tcBorders>
            <w:noWrap w:val="0"/>
            <w:vAlign w:val="center"/>
          </w:tcPr>
          <w:p w14:paraId="764EBEC4">
            <w:pPr>
              <w:widowControl/>
              <w:spacing w:line="240" w:lineRule="exact"/>
              <w:jc w:val="center"/>
              <w:rPr>
                <w:rFonts w:hint="eastAsia" w:ascii="仿宋" w:hAnsi="仿宋" w:eastAsia="仿宋" w:cs="仿宋"/>
                <w:color w:val="000000"/>
                <w:sz w:val="18"/>
                <w:szCs w:val="18"/>
                <w:highlight w:val="none"/>
              </w:rPr>
            </w:pPr>
          </w:p>
        </w:tc>
      </w:tr>
      <w:tr w14:paraId="3F6EBE6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AEFB485">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88C455B">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57651E6F">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46BB5A14">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6E798460">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5E928E57">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3AFEE9DE">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21E0EDE4">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55C294AA">
            <w:pPr>
              <w:widowControl/>
              <w:spacing w:line="240" w:lineRule="exact"/>
              <w:jc w:val="center"/>
              <w:rPr>
                <w:rFonts w:hint="eastAsia" w:ascii="仿宋" w:hAnsi="仿宋" w:eastAsia="仿宋" w:cs="仿宋"/>
                <w:color w:val="000000"/>
                <w:sz w:val="18"/>
                <w:szCs w:val="18"/>
                <w:highlight w:val="none"/>
              </w:rPr>
            </w:pPr>
          </w:p>
        </w:tc>
      </w:tr>
      <w:tr w14:paraId="234DBF6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A6F2868">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8EB59E6">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2C6F36A9">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7F0F4A3D">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14:paraId="490236BF">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788C4FF0">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760E35D1">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117422F9">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0784F3AB">
            <w:pPr>
              <w:widowControl/>
              <w:spacing w:line="240" w:lineRule="exact"/>
              <w:jc w:val="center"/>
              <w:rPr>
                <w:rFonts w:hint="eastAsia" w:ascii="仿宋" w:hAnsi="仿宋" w:eastAsia="仿宋" w:cs="仿宋"/>
                <w:color w:val="000000"/>
                <w:sz w:val="18"/>
                <w:szCs w:val="18"/>
                <w:highlight w:val="none"/>
              </w:rPr>
            </w:pPr>
          </w:p>
        </w:tc>
      </w:tr>
      <w:tr w14:paraId="64268B85">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7E958A0">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F01989E">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14:paraId="1557B5C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0221DFE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14:paraId="2F0522C7">
            <w:pPr>
              <w:keepNext w:val="0"/>
              <w:keepLines w:val="0"/>
              <w:widowControl/>
              <w:suppressLineNumbers w:val="0"/>
              <w:jc w:val="center"/>
              <w:textAlignment w:val="center"/>
              <w:rPr>
                <w:rFonts w:hint="eastAsia" w:ascii="仿宋" w:hAnsi="仿宋" w:eastAsia="仿宋" w:cs="仿宋"/>
                <w:color w:val="000000"/>
                <w:sz w:val="20"/>
                <w:szCs w:val="20"/>
                <w:highlight w:val="none"/>
              </w:rPr>
            </w:pPr>
            <w:r>
              <w:rPr>
                <w:rFonts w:hint="eastAsia" w:ascii="仿宋" w:hAnsi="仿宋" w:eastAsia="仿宋" w:cs="仿宋"/>
                <w:i w:val="0"/>
                <w:iCs w:val="0"/>
                <w:color w:val="000000"/>
                <w:kern w:val="0"/>
                <w:sz w:val="20"/>
                <w:szCs w:val="20"/>
                <w:u w:val="none"/>
                <w:lang w:val="en-US" w:eastAsia="zh-CN" w:bidi="ar"/>
              </w:rPr>
              <w:t>人民群众的获得感和幸福感</w:t>
            </w:r>
          </w:p>
        </w:tc>
        <w:tc>
          <w:tcPr>
            <w:tcW w:w="1311" w:type="dxa"/>
            <w:tcBorders>
              <w:top w:val="nil"/>
              <w:left w:val="nil"/>
              <w:bottom w:val="single" w:color="auto" w:sz="4" w:space="0"/>
              <w:right w:val="single" w:color="auto" w:sz="4" w:space="0"/>
            </w:tcBorders>
            <w:noWrap w:val="0"/>
            <w:vAlign w:val="center"/>
          </w:tcPr>
          <w:p w14:paraId="640CEF66">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定性</w:t>
            </w:r>
          </w:p>
        </w:tc>
        <w:tc>
          <w:tcPr>
            <w:tcW w:w="1269" w:type="dxa"/>
            <w:tcBorders>
              <w:top w:val="nil"/>
              <w:left w:val="nil"/>
              <w:bottom w:val="single" w:color="auto" w:sz="4" w:space="0"/>
              <w:right w:val="single" w:color="auto" w:sz="4" w:space="0"/>
            </w:tcBorders>
            <w:noWrap w:val="0"/>
            <w:vAlign w:val="center"/>
          </w:tcPr>
          <w:p w14:paraId="52198244">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提高</w:t>
            </w:r>
          </w:p>
        </w:tc>
        <w:tc>
          <w:tcPr>
            <w:tcW w:w="716" w:type="dxa"/>
            <w:tcBorders>
              <w:top w:val="nil"/>
              <w:left w:val="nil"/>
              <w:bottom w:val="single" w:color="auto" w:sz="4" w:space="0"/>
              <w:right w:val="single" w:color="auto" w:sz="4" w:space="0"/>
            </w:tcBorders>
            <w:noWrap w:val="0"/>
            <w:vAlign w:val="center"/>
          </w:tcPr>
          <w:p w14:paraId="6231C4A5">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7.5</w:t>
            </w:r>
          </w:p>
        </w:tc>
        <w:tc>
          <w:tcPr>
            <w:tcW w:w="873" w:type="dxa"/>
            <w:tcBorders>
              <w:top w:val="nil"/>
              <w:left w:val="nil"/>
              <w:bottom w:val="single" w:color="auto" w:sz="4" w:space="0"/>
              <w:right w:val="single" w:color="auto" w:sz="4" w:space="0"/>
            </w:tcBorders>
            <w:noWrap w:val="0"/>
            <w:vAlign w:val="center"/>
          </w:tcPr>
          <w:p w14:paraId="1EA22EEB">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7.5</w:t>
            </w:r>
          </w:p>
        </w:tc>
        <w:tc>
          <w:tcPr>
            <w:tcW w:w="1446" w:type="dxa"/>
            <w:tcBorders>
              <w:top w:val="nil"/>
              <w:left w:val="nil"/>
              <w:bottom w:val="single" w:color="auto" w:sz="4" w:space="0"/>
              <w:right w:val="single" w:color="auto" w:sz="4" w:space="0"/>
            </w:tcBorders>
            <w:noWrap w:val="0"/>
            <w:vAlign w:val="center"/>
          </w:tcPr>
          <w:p w14:paraId="5CD8F08F">
            <w:pPr>
              <w:widowControl/>
              <w:spacing w:line="240" w:lineRule="exact"/>
              <w:jc w:val="center"/>
              <w:rPr>
                <w:rFonts w:hint="eastAsia" w:ascii="仿宋" w:hAnsi="仿宋" w:eastAsia="仿宋" w:cs="仿宋"/>
                <w:color w:val="000000"/>
                <w:sz w:val="18"/>
                <w:szCs w:val="18"/>
                <w:highlight w:val="none"/>
              </w:rPr>
            </w:pPr>
          </w:p>
        </w:tc>
      </w:tr>
      <w:tr w14:paraId="2349B43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8EB1522">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FA57686">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21E63514">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081D33C7">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27EFAD75">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187A1D89">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44672516">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76FF76D2">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7CEDBD72">
            <w:pPr>
              <w:widowControl/>
              <w:spacing w:line="240" w:lineRule="exact"/>
              <w:jc w:val="center"/>
              <w:rPr>
                <w:rFonts w:hint="eastAsia" w:ascii="仿宋" w:hAnsi="仿宋" w:eastAsia="仿宋" w:cs="仿宋"/>
                <w:color w:val="000000"/>
                <w:sz w:val="18"/>
                <w:szCs w:val="18"/>
                <w:highlight w:val="none"/>
              </w:rPr>
            </w:pPr>
          </w:p>
        </w:tc>
      </w:tr>
      <w:tr w14:paraId="79C2067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024964C">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F3A1049">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23BCAFBC">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43F90BBE">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14:paraId="480A0002">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5490FA9F">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573AB2C3">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5DC19B22">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20EEB216">
            <w:pPr>
              <w:widowControl/>
              <w:spacing w:line="240" w:lineRule="exact"/>
              <w:jc w:val="center"/>
              <w:rPr>
                <w:rFonts w:hint="eastAsia" w:ascii="仿宋" w:hAnsi="仿宋" w:eastAsia="仿宋" w:cs="仿宋"/>
                <w:color w:val="000000"/>
                <w:sz w:val="18"/>
                <w:szCs w:val="18"/>
                <w:highlight w:val="none"/>
              </w:rPr>
            </w:pPr>
          </w:p>
        </w:tc>
      </w:tr>
      <w:tr w14:paraId="03ECE7E1">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DA703BC">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BAF808E">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14:paraId="64F46CB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394C290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14:paraId="74304ED3">
            <w:pPr>
              <w:keepNext w:val="0"/>
              <w:keepLines w:val="0"/>
              <w:widowControl/>
              <w:suppressLineNumbers w:val="0"/>
              <w:jc w:val="center"/>
              <w:textAlignment w:val="center"/>
              <w:rPr>
                <w:rFonts w:hint="eastAsia" w:ascii="仿宋" w:hAnsi="仿宋" w:eastAsia="仿宋" w:cs="仿宋"/>
                <w:color w:val="000000"/>
                <w:sz w:val="20"/>
                <w:szCs w:val="20"/>
                <w:highlight w:val="none"/>
              </w:rPr>
            </w:pPr>
            <w:r>
              <w:rPr>
                <w:rFonts w:hint="eastAsia" w:ascii="仿宋" w:hAnsi="仿宋" w:eastAsia="仿宋" w:cs="仿宋"/>
                <w:i w:val="0"/>
                <w:iCs w:val="0"/>
                <w:color w:val="000000"/>
                <w:kern w:val="0"/>
                <w:sz w:val="20"/>
                <w:szCs w:val="20"/>
                <w:u w:val="none"/>
                <w:lang w:val="en-US" w:eastAsia="zh-CN" w:bidi="ar"/>
              </w:rPr>
              <w:t>传染源控制</w:t>
            </w:r>
          </w:p>
        </w:tc>
        <w:tc>
          <w:tcPr>
            <w:tcW w:w="1311" w:type="dxa"/>
            <w:tcBorders>
              <w:top w:val="nil"/>
              <w:left w:val="nil"/>
              <w:bottom w:val="single" w:color="auto" w:sz="4" w:space="0"/>
              <w:right w:val="single" w:color="auto" w:sz="4" w:space="0"/>
            </w:tcBorders>
            <w:noWrap w:val="0"/>
            <w:vAlign w:val="center"/>
          </w:tcPr>
          <w:p w14:paraId="5561C0C1">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定性</w:t>
            </w:r>
          </w:p>
        </w:tc>
        <w:tc>
          <w:tcPr>
            <w:tcW w:w="1269" w:type="dxa"/>
            <w:tcBorders>
              <w:top w:val="nil"/>
              <w:left w:val="nil"/>
              <w:bottom w:val="single" w:color="auto" w:sz="4" w:space="0"/>
              <w:right w:val="single" w:color="auto" w:sz="4" w:space="0"/>
            </w:tcBorders>
            <w:noWrap w:val="0"/>
            <w:vAlign w:val="center"/>
          </w:tcPr>
          <w:p w14:paraId="5432CE72">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巩固</w:t>
            </w:r>
          </w:p>
        </w:tc>
        <w:tc>
          <w:tcPr>
            <w:tcW w:w="716" w:type="dxa"/>
            <w:tcBorders>
              <w:top w:val="nil"/>
              <w:left w:val="nil"/>
              <w:bottom w:val="single" w:color="auto" w:sz="4" w:space="0"/>
              <w:right w:val="single" w:color="auto" w:sz="4" w:space="0"/>
            </w:tcBorders>
            <w:noWrap w:val="0"/>
            <w:vAlign w:val="center"/>
          </w:tcPr>
          <w:p w14:paraId="3CC242DE">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7.5</w:t>
            </w:r>
          </w:p>
        </w:tc>
        <w:tc>
          <w:tcPr>
            <w:tcW w:w="873" w:type="dxa"/>
            <w:tcBorders>
              <w:top w:val="nil"/>
              <w:left w:val="nil"/>
              <w:bottom w:val="single" w:color="auto" w:sz="4" w:space="0"/>
              <w:right w:val="single" w:color="auto" w:sz="4" w:space="0"/>
            </w:tcBorders>
            <w:noWrap w:val="0"/>
            <w:vAlign w:val="center"/>
          </w:tcPr>
          <w:p w14:paraId="190DD8F7">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7.5</w:t>
            </w:r>
          </w:p>
        </w:tc>
        <w:tc>
          <w:tcPr>
            <w:tcW w:w="1446" w:type="dxa"/>
            <w:tcBorders>
              <w:top w:val="nil"/>
              <w:left w:val="nil"/>
              <w:bottom w:val="single" w:color="auto" w:sz="4" w:space="0"/>
              <w:right w:val="single" w:color="auto" w:sz="4" w:space="0"/>
            </w:tcBorders>
            <w:noWrap w:val="0"/>
            <w:vAlign w:val="center"/>
          </w:tcPr>
          <w:p w14:paraId="46C5D165">
            <w:pPr>
              <w:widowControl/>
              <w:spacing w:line="240" w:lineRule="exact"/>
              <w:jc w:val="center"/>
              <w:rPr>
                <w:rFonts w:hint="eastAsia" w:ascii="仿宋" w:hAnsi="仿宋" w:eastAsia="仿宋" w:cs="仿宋"/>
                <w:color w:val="000000"/>
                <w:sz w:val="18"/>
                <w:szCs w:val="18"/>
                <w:highlight w:val="none"/>
              </w:rPr>
            </w:pPr>
          </w:p>
        </w:tc>
      </w:tr>
      <w:tr w14:paraId="77B5D73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DB9F71D">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32C2420">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2ADDA210">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3355FB59">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487C3875">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579C2232">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32CB1C3C">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25774E7B">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147E7D6A">
            <w:pPr>
              <w:widowControl/>
              <w:spacing w:line="240" w:lineRule="exact"/>
              <w:jc w:val="center"/>
              <w:rPr>
                <w:rFonts w:hint="eastAsia" w:ascii="仿宋" w:hAnsi="仿宋" w:eastAsia="仿宋" w:cs="仿宋"/>
                <w:color w:val="000000"/>
                <w:sz w:val="18"/>
                <w:szCs w:val="18"/>
                <w:highlight w:val="none"/>
              </w:rPr>
            </w:pPr>
          </w:p>
        </w:tc>
      </w:tr>
      <w:tr w14:paraId="7DBABCB1">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751FCA3">
            <w:pPr>
              <w:widowControl/>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55EEE2B">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524596DA">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3A21B161">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14:paraId="6B67AB49">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12B772C8">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2CEAB72E">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698364D0">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649A4080">
            <w:pPr>
              <w:widowControl/>
              <w:spacing w:line="240" w:lineRule="exact"/>
              <w:jc w:val="center"/>
              <w:rPr>
                <w:rFonts w:hint="eastAsia" w:ascii="仿宋" w:hAnsi="仿宋" w:eastAsia="仿宋" w:cs="仿宋"/>
                <w:color w:val="000000"/>
                <w:sz w:val="18"/>
                <w:szCs w:val="18"/>
                <w:highlight w:val="none"/>
              </w:rPr>
            </w:pPr>
          </w:p>
        </w:tc>
      </w:tr>
      <w:tr w14:paraId="60E3A435">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14:paraId="61123865">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A8CB39B">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single" w:color="auto" w:sz="4" w:space="0"/>
              <w:left w:val="single" w:color="auto" w:sz="4" w:space="0"/>
              <w:right w:val="single" w:color="auto" w:sz="4" w:space="0"/>
            </w:tcBorders>
            <w:noWrap w:val="0"/>
            <w:vAlign w:val="center"/>
          </w:tcPr>
          <w:p w14:paraId="23ED896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14:paraId="5E7BD5DA">
            <w:pPr>
              <w:keepNext w:val="0"/>
              <w:keepLines w:val="0"/>
              <w:widowControl/>
              <w:suppressLineNumbers w:val="0"/>
              <w:jc w:val="center"/>
              <w:textAlignment w:val="center"/>
              <w:rPr>
                <w:rFonts w:hint="eastAsia" w:ascii="仿宋" w:hAnsi="仿宋" w:eastAsia="仿宋" w:cs="仿宋"/>
                <w:color w:val="000000"/>
                <w:sz w:val="20"/>
                <w:szCs w:val="20"/>
                <w:highlight w:val="none"/>
              </w:rPr>
            </w:pPr>
            <w:r>
              <w:rPr>
                <w:rFonts w:hint="eastAsia" w:ascii="仿宋" w:hAnsi="仿宋" w:eastAsia="仿宋" w:cs="仿宋"/>
                <w:i w:val="0"/>
                <w:iCs w:val="0"/>
                <w:color w:val="000000"/>
                <w:kern w:val="0"/>
                <w:sz w:val="20"/>
                <w:szCs w:val="20"/>
                <w:u w:val="none"/>
                <w:lang w:val="en-US" w:eastAsia="zh-CN" w:bidi="ar"/>
              </w:rPr>
              <w:t>螺情监测</w:t>
            </w:r>
          </w:p>
        </w:tc>
        <w:tc>
          <w:tcPr>
            <w:tcW w:w="1311" w:type="dxa"/>
            <w:tcBorders>
              <w:top w:val="single" w:color="auto" w:sz="4" w:space="0"/>
              <w:left w:val="single" w:color="auto" w:sz="4" w:space="0"/>
              <w:bottom w:val="single" w:color="auto" w:sz="4" w:space="0"/>
              <w:right w:val="single" w:color="auto" w:sz="4" w:space="0"/>
            </w:tcBorders>
            <w:noWrap w:val="0"/>
            <w:vAlign w:val="center"/>
          </w:tcPr>
          <w:p w14:paraId="3F812238">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定性</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2FDA8B66">
            <w:pPr>
              <w:keepNext w:val="0"/>
              <w:keepLines w:val="0"/>
              <w:widowControl/>
              <w:suppressLineNumbers w:val="0"/>
              <w:jc w:val="center"/>
              <w:textAlignment w:val="center"/>
              <w:rPr>
                <w:rFonts w:hint="eastAsia" w:ascii="仿宋" w:hAnsi="仿宋" w:eastAsia="仿宋" w:cs="仿宋"/>
                <w:color w:val="000000"/>
                <w:sz w:val="18"/>
                <w:szCs w:val="18"/>
                <w:highlight w:val="none"/>
              </w:rPr>
            </w:pPr>
            <w:r>
              <w:rPr>
                <w:rFonts w:hint="eastAsia" w:ascii="仿宋" w:hAnsi="仿宋" w:eastAsia="仿宋" w:cs="仿宋"/>
                <w:i w:val="0"/>
                <w:iCs w:val="0"/>
                <w:color w:val="000000"/>
                <w:kern w:val="0"/>
                <w:sz w:val="18"/>
                <w:szCs w:val="18"/>
                <w:u w:val="none"/>
                <w:lang w:val="en-US" w:eastAsia="zh-CN" w:bidi="ar"/>
              </w:rPr>
              <w:t>促进</w:t>
            </w:r>
          </w:p>
        </w:tc>
        <w:tc>
          <w:tcPr>
            <w:tcW w:w="716" w:type="dxa"/>
            <w:tcBorders>
              <w:top w:val="single" w:color="auto" w:sz="4" w:space="0"/>
              <w:left w:val="single" w:color="auto" w:sz="4" w:space="0"/>
              <w:bottom w:val="single" w:color="auto" w:sz="4" w:space="0"/>
              <w:right w:val="single" w:color="auto" w:sz="4" w:space="0"/>
            </w:tcBorders>
            <w:noWrap w:val="0"/>
            <w:vAlign w:val="center"/>
          </w:tcPr>
          <w:p w14:paraId="551BBE91">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7.5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5A34ECB9">
            <w:pPr>
              <w:widowControl/>
              <w:spacing w:line="240" w:lineRule="exact"/>
              <w:jc w:val="center"/>
              <w:rPr>
                <w:rFonts w:hint="eastAsia" w:ascii="仿宋" w:hAnsi="仿宋" w:eastAsia="仿宋" w:cs="仿宋"/>
                <w:color w:val="000000"/>
                <w:sz w:val="18"/>
                <w:szCs w:val="18"/>
                <w:highlight w:val="none"/>
              </w:rPr>
            </w:pPr>
            <w:r>
              <w:rPr>
                <w:rFonts w:hint="eastAsia" w:ascii="仿宋" w:hAnsi="仿宋" w:eastAsia="仿宋" w:cs="仿宋"/>
                <w:color w:val="000000"/>
                <w:sz w:val="18"/>
                <w:szCs w:val="18"/>
                <w:highlight w:val="none"/>
                <w:lang w:val="en-US" w:eastAsia="zh-CN"/>
              </w:rPr>
              <w:t>7.5</w:t>
            </w:r>
          </w:p>
        </w:tc>
        <w:tc>
          <w:tcPr>
            <w:tcW w:w="1446" w:type="dxa"/>
            <w:tcBorders>
              <w:top w:val="single" w:color="auto" w:sz="4" w:space="0"/>
              <w:left w:val="single" w:color="auto" w:sz="4" w:space="0"/>
              <w:bottom w:val="single" w:color="auto" w:sz="4" w:space="0"/>
              <w:right w:val="single" w:color="auto" w:sz="4" w:space="0"/>
            </w:tcBorders>
            <w:noWrap w:val="0"/>
            <w:vAlign w:val="center"/>
          </w:tcPr>
          <w:p w14:paraId="66563FA5">
            <w:pPr>
              <w:widowControl/>
              <w:spacing w:line="240" w:lineRule="exact"/>
              <w:jc w:val="center"/>
              <w:rPr>
                <w:rFonts w:hint="eastAsia" w:ascii="仿宋" w:hAnsi="仿宋" w:eastAsia="仿宋" w:cs="仿宋"/>
                <w:color w:val="000000"/>
                <w:sz w:val="18"/>
                <w:szCs w:val="18"/>
                <w:highlight w:val="none"/>
              </w:rPr>
            </w:pPr>
          </w:p>
        </w:tc>
      </w:tr>
      <w:tr w14:paraId="077FE80B">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14:paraId="7239AFBC">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F1657ED">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single" w:color="auto" w:sz="4" w:space="0"/>
              <w:right w:val="single" w:color="auto" w:sz="4" w:space="0"/>
            </w:tcBorders>
            <w:noWrap w:val="0"/>
            <w:vAlign w:val="center"/>
          </w:tcPr>
          <w:p w14:paraId="60590965">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single" w:color="auto" w:sz="4" w:space="0"/>
              <w:left w:val="nil"/>
              <w:bottom w:val="single" w:color="auto" w:sz="4" w:space="0"/>
              <w:right w:val="single" w:color="auto" w:sz="4" w:space="0"/>
            </w:tcBorders>
            <w:noWrap w:val="0"/>
            <w:vAlign w:val="center"/>
          </w:tcPr>
          <w:p w14:paraId="23C5EFD0">
            <w:pPr>
              <w:widowControl/>
              <w:spacing w:line="240" w:lineRule="exact"/>
              <w:jc w:val="center"/>
              <w:rPr>
                <w:rFonts w:hint="eastAsia" w:ascii="仿宋" w:hAnsi="仿宋" w:eastAsia="仿宋" w:cs="仿宋"/>
                <w:color w:val="000000"/>
                <w:sz w:val="20"/>
                <w:szCs w:val="20"/>
                <w:highlight w:val="none"/>
              </w:rPr>
            </w:pPr>
          </w:p>
        </w:tc>
        <w:tc>
          <w:tcPr>
            <w:tcW w:w="1311" w:type="dxa"/>
            <w:tcBorders>
              <w:top w:val="single" w:color="auto" w:sz="4" w:space="0"/>
              <w:left w:val="nil"/>
              <w:bottom w:val="single" w:color="auto" w:sz="4" w:space="0"/>
              <w:right w:val="single" w:color="auto" w:sz="4" w:space="0"/>
            </w:tcBorders>
            <w:noWrap w:val="0"/>
            <w:vAlign w:val="center"/>
          </w:tcPr>
          <w:p w14:paraId="786A1E85">
            <w:pPr>
              <w:widowControl/>
              <w:spacing w:line="240" w:lineRule="exact"/>
              <w:jc w:val="center"/>
              <w:rPr>
                <w:rFonts w:hint="eastAsia" w:ascii="仿宋" w:hAnsi="仿宋" w:eastAsia="仿宋" w:cs="仿宋"/>
                <w:color w:val="000000"/>
                <w:sz w:val="18"/>
                <w:szCs w:val="18"/>
                <w:highlight w:val="none"/>
              </w:rPr>
            </w:pPr>
          </w:p>
        </w:tc>
        <w:tc>
          <w:tcPr>
            <w:tcW w:w="1269" w:type="dxa"/>
            <w:tcBorders>
              <w:top w:val="single" w:color="auto" w:sz="4" w:space="0"/>
              <w:left w:val="nil"/>
              <w:bottom w:val="single" w:color="auto" w:sz="4" w:space="0"/>
              <w:right w:val="single" w:color="auto" w:sz="4" w:space="0"/>
            </w:tcBorders>
            <w:noWrap w:val="0"/>
            <w:vAlign w:val="center"/>
          </w:tcPr>
          <w:p w14:paraId="7365B0B9">
            <w:pPr>
              <w:widowControl/>
              <w:spacing w:line="240" w:lineRule="exact"/>
              <w:jc w:val="center"/>
              <w:rPr>
                <w:rFonts w:hint="eastAsia" w:ascii="仿宋" w:hAnsi="仿宋" w:eastAsia="仿宋" w:cs="仿宋"/>
                <w:color w:val="000000"/>
                <w:sz w:val="18"/>
                <w:szCs w:val="18"/>
                <w:highlight w:val="none"/>
              </w:rPr>
            </w:pPr>
          </w:p>
        </w:tc>
        <w:tc>
          <w:tcPr>
            <w:tcW w:w="716" w:type="dxa"/>
            <w:tcBorders>
              <w:top w:val="single" w:color="auto" w:sz="4" w:space="0"/>
              <w:left w:val="nil"/>
              <w:bottom w:val="single" w:color="auto" w:sz="4" w:space="0"/>
              <w:right w:val="single" w:color="auto" w:sz="4" w:space="0"/>
            </w:tcBorders>
            <w:noWrap w:val="0"/>
            <w:vAlign w:val="center"/>
          </w:tcPr>
          <w:p w14:paraId="003A7EAD">
            <w:pPr>
              <w:widowControl/>
              <w:spacing w:line="240" w:lineRule="exact"/>
              <w:jc w:val="center"/>
              <w:rPr>
                <w:rFonts w:hint="eastAsia" w:ascii="仿宋" w:hAnsi="仿宋" w:eastAsia="仿宋" w:cs="仿宋"/>
                <w:color w:val="000000"/>
                <w:sz w:val="18"/>
                <w:szCs w:val="18"/>
                <w:highlight w:val="none"/>
              </w:rPr>
            </w:pPr>
          </w:p>
        </w:tc>
        <w:tc>
          <w:tcPr>
            <w:tcW w:w="873" w:type="dxa"/>
            <w:tcBorders>
              <w:top w:val="single" w:color="auto" w:sz="4" w:space="0"/>
              <w:left w:val="nil"/>
              <w:bottom w:val="single" w:color="auto" w:sz="4" w:space="0"/>
              <w:right w:val="single" w:color="auto" w:sz="4" w:space="0"/>
            </w:tcBorders>
            <w:noWrap w:val="0"/>
            <w:vAlign w:val="center"/>
          </w:tcPr>
          <w:p w14:paraId="2098A6B6">
            <w:pPr>
              <w:widowControl/>
              <w:spacing w:line="240" w:lineRule="exact"/>
              <w:jc w:val="center"/>
              <w:rPr>
                <w:rFonts w:hint="eastAsia" w:ascii="仿宋" w:hAnsi="仿宋" w:eastAsia="仿宋" w:cs="仿宋"/>
                <w:color w:val="000000"/>
                <w:sz w:val="18"/>
                <w:szCs w:val="18"/>
                <w:highlight w:val="none"/>
              </w:rPr>
            </w:pPr>
          </w:p>
        </w:tc>
        <w:tc>
          <w:tcPr>
            <w:tcW w:w="1446" w:type="dxa"/>
            <w:tcBorders>
              <w:top w:val="single" w:color="auto" w:sz="4" w:space="0"/>
              <w:left w:val="nil"/>
              <w:bottom w:val="single" w:color="auto" w:sz="4" w:space="0"/>
              <w:right w:val="single" w:color="auto" w:sz="4" w:space="0"/>
            </w:tcBorders>
            <w:noWrap w:val="0"/>
            <w:vAlign w:val="center"/>
          </w:tcPr>
          <w:p w14:paraId="4BD2C795">
            <w:pPr>
              <w:widowControl/>
              <w:spacing w:line="240" w:lineRule="exact"/>
              <w:jc w:val="center"/>
              <w:rPr>
                <w:rFonts w:hint="eastAsia" w:ascii="仿宋" w:hAnsi="仿宋" w:eastAsia="仿宋" w:cs="仿宋"/>
                <w:color w:val="000000"/>
                <w:sz w:val="18"/>
                <w:szCs w:val="18"/>
                <w:highlight w:val="none"/>
              </w:rPr>
            </w:pPr>
          </w:p>
        </w:tc>
      </w:tr>
      <w:tr w14:paraId="3C4A0C77">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14:paraId="36FB1E0F">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E51C11E">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single" w:color="auto" w:sz="4" w:space="0"/>
              <w:bottom w:val="single" w:color="auto" w:sz="4" w:space="0"/>
              <w:right w:val="single" w:color="auto" w:sz="4" w:space="0"/>
            </w:tcBorders>
            <w:noWrap w:val="0"/>
            <w:vAlign w:val="center"/>
          </w:tcPr>
          <w:p w14:paraId="1578B83A">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372A0347">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14:paraId="1CFB1E3B">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06B8B18C">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1AA767DD">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14F1DC65">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3CD89E32">
            <w:pPr>
              <w:widowControl/>
              <w:spacing w:line="240" w:lineRule="exact"/>
              <w:jc w:val="center"/>
              <w:rPr>
                <w:rFonts w:hint="eastAsia" w:ascii="仿宋" w:hAnsi="仿宋" w:eastAsia="仿宋" w:cs="仿宋"/>
                <w:color w:val="000000"/>
                <w:sz w:val="18"/>
                <w:szCs w:val="18"/>
                <w:highlight w:val="none"/>
              </w:rPr>
            </w:pPr>
          </w:p>
        </w:tc>
      </w:tr>
      <w:tr w14:paraId="6C5D33DE">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14:paraId="2E9A979C">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108F7C2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10CC972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08A6175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vMerge w:val="restart"/>
            <w:tcBorders>
              <w:top w:val="nil"/>
              <w:left w:val="nil"/>
              <w:right w:val="single" w:color="auto" w:sz="4" w:space="0"/>
            </w:tcBorders>
            <w:noWrap w:val="0"/>
            <w:vAlign w:val="center"/>
          </w:tcPr>
          <w:p w14:paraId="73090D6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14:paraId="5A6D51AB">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晚血病人满意度</w:t>
            </w:r>
          </w:p>
        </w:tc>
        <w:tc>
          <w:tcPr>
            <w:tcW w:w="1311" w:type="dxa"/>
            <w:tcBorders>
              <w:top w:val="nil"/>
              <w:left w:val="nil"/>
              <w:bottom w:val="single" w:color="auto" w:sz="4" w:space="0"/>
              <w:right w:val="single" w:color="auto" w:sz="4" w:space="0"/>
            </w:tcBorders>
            <w:noWrap w:val="0"/>
            <w:vAlign w:val="center"/>
          </w:tcPr>
          <w:p w14:paraId="3AF46535">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90%</w:t>
            </w:r>
          </w:p>
        </w:tc>
        <w:tc>
          <w:tcPr>
            <w:tcW w:w="1269" w:type="dxa"/>
            <w:tcBorders>
              <w:top w:val="nil"/>
              <w:left w:val="nil"/>
              <w:bottom w:val="single" w:color="auto" w:sz="4" w:space="0"/>
              <w:right w:val="single" w:color="auto" w:sz="4" w:space="0"/>
            </w:tcBorders>
            <w:noWrap w:val="0"/>
            <w:vAlign w:val="center"/>
          </w:tcPr>
          <w:p w14:paraId="6342D576">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14:paraId="438CBD59">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w:t>
            </w:r>
          </w:p>
        </w:tc>
        <w:tc>
          <w:tcPr>
            <w:tcW w:w="873" w:type="dxa"/>
            <w:tcBorders>
              <w:top w:val="nil"/>
              <w:left w:val="nil"/>
              <w:bottom w:val="single" w:color="auto" w:sz="4" w:space="0"/>
              <w:right w:val="single" w:color="auto" w:sz="4" w:space="0"/>
            </w:tcBorders>
            <w:noWrap w:val="0"/>
            <w:vAlign w:val="center"/>
          </w:tcPr>
          <w:p w14:paraId="4F488DC5">
            <w:pPr>
              <w:widowControl/>
              <w:spacing w:line="240" w:lineRule="exact"/>
              <w:jc w:val="center"/>
              <w:rPr>
                <w:rFonts w:hint="eastAsia" w:ascii="仿宋" w:hAnsi="仿宋" w:eastAsia="仿宋" w:cs="仿宋"/>
                <w:color w:val="000000"/>
                <w:sz w:val="18"/>
                <w:szCs w:val="18"/>
                <w:highlight w:val="none"/>
                <w:lang w:val="en-US" w:eastAsia="zh-CN"/>
              </w:rPr>
            </w:pPr>
            <w:r>
              <w:rPr>
                <w:rFonts w:hint="eastAsia" w:ascii="仿宋" w:hAnsi="仿宋" w:eastAsia="仿宋" w:cs="仿宋"/>
                <w:color w:val="000000"/>
                <w:sz w:val="18"/>
                <w:szCs w:val="18"/>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14:paraId="6FE6DC35">
            <w:pPr>
              <w:widowControl/>
              <w:spacing w:line="240" w:lineRule="exact"/>
              <w:jc w:val="center"/>
              <w:rPr>
                <w:rFonts w:hint="eastAsia" w:ascii="仿宋" w:hAnsi="仿宋" w:eastAsia="仿宋" w:cs="仿宋"/>
                <w:color w:val="000000"/>
                <w:sz w:val="18"/>
                <w:szCs w:val="18"/>
                <w:highlight w:val="none"/>
              </w:rPr>
            </w:pPr>
          </w:p>
        </w:tc>
      </w:tr>
      <w:tr w14:paraId="45C34393">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14:paraId="1EF1648C">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8392572">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14:paraId="2BD7CDE7">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54F95063">
            <w:pPr>
              <w:widowControl/>
              <w:spacing w:line="240" w:lineRule="exact"/>
              <w:jc w:val="center"/>
              <w:rPr>
                <w:rFonts w:hint="eastAsia" w:ascii="仿宋" w:hAnsi="仿宋" w:eastAsia="仿宋" w:cs="仿宋"/>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14:paraId="11059B7C">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73677F57">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5379FF77">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36BEE816">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6D816C33">
            <w:pPr>
              <w:widowControl/>
              <w:spacing w:line="240" w:lineRule="exact"/>
              <w:jc w:val="center"/>
              <w:rPr>
                <w:rFonts w:hint="eastAsia" w:ascii="仿宋" w:hAnsi="仿宋" w:eastAsia="仿宋" w:cs="仿宋"/>
                <w:color w:val="000000"/>
                <w:sz w:val="18"/>
                <w:szCs w:val="18"/>
                <w:highlight w:val="none"/>
              </w:rPr>
            </w:pPr>
          </w:p>
        </w:tc>
      </w:tr>
      <w:tr w14:paraId="21995873">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bottom w:val="single" w:color="auto" w:sz="4" w:space="0"/>
              <w:right w:val="single" w:color="auto" w:sz="4" w:space="0"/>
            </w:tcBorders>
            <w:noWrap w:val="0"/>
            <w:vAlign w:val="center"/>
          </w:tcPr>
          <w:p w14:paraId="6F5C02DE">
            <w:pPr>
              <w:widowControl/>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5855B294">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14:paraId="69475DE9">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3D2136A6">
            <w:pPr>
              <w:widowControl/>
              <w:spacing w:line="240" w:lineRule="exact"/>
              <w:jc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14:paraId="11185C78">
            <w:pPr>
              <w:widowControl/>
              <w:spacing w:line="240" w:lineRule="exact"/>
              <w:jc w:val="center"/>
              <w:rPr>
                <w:rFonts w:hint="eastAsia" w:ascii="仿宋" w:hAnsi="仿宋" w:eastAsia="仿宋" w:cs="仿宋"/>
                <w:color w:val="000000"/>
                <w:sz w:val="18"/>
                <w:szCs w:val="18"/>
                <w:highlight w:val="none"/>
              </w:rPr>
            </w:pPr>
          </w:p>
        </w:tc>
        <w:tc>
          <w:tcPr>
            <w:tcW w:w="1269" w:type="dxa"/>
            <w:tcBorders>
              <w:top w:val="nil"/>
              <w:left w:val="nil"/>
              <w:bottom w:val="single" w:color="auto" w:sz="4" w:space="0"/>
              <w:right w:val="single" w:color="auto" w:sz="4" w:space="0"/>
            </w:tcBorders>
            <w:noWrap w:val="0"/>
            <w:vAlign w:val="center"/>
          </w:tcPr>
          <w:p w14:paraId="444981EA">
            <w:pPr>
              <w:widowControl/>
              <w:spacing w:line="240" w:lineRule="exact"/>
              <w:jc w:val="center"/>
              <w:rPr>
                <w:rFonts w:hint="eastAsia" w:ascii="仿宋" w:hAnsi="仿宋" w:eastAsia="仿宋" w:cs="仿宋"/>
                <w:color w:val="000000"/>
                <w:sz w:val="18"/>
                <w:szCs w:val="18"/>
                <w:highlight w:val="none"/>
              </w:rPr>
            </w:pPr>
          </w:p>
        </w:tc>
        <w:tc>
          <w:tcPr>
            <w:tcW w:w="716" w:type="dxa"/>
            <w:tcBorders>
              <w:top w:val="nil"/>
              <w:left w:val="nil"/>
              <w:bottom w:val="single" w:color="auto" w:sz="4" w:space="0"/>
              <w:right w:val="single" w:color="auto" w:sz="4" w:space="0"/>
            </w:tcBorders>
            <w:noWrap w:val="0"/>
            <w:vAlign w:val="center"/>
          </w:tcPr>
          <w:p w14:paraId="0A6D8AB0">
            <w:pPr>
              <w:widowControl/>
              <w:spacing w:line="240" w:lineRule="exact"/>
              <w:jc w:val="center"/>
              <w:rPr>
                <w:rFonts w:hint="eastAsia" w:ascii="仿宋" w:hAnsi="仿宋" w:eastAsia="仿宋" w:cs="仿宋"/>
                <w:color w:val="000000"/>
                <w:sz w:val="18"/>
                <w:szCs w:val="18"/>
                <w:highlight w:val="none"/>
              </w:rPr>
            </w:pPr>
          </w:p>
        </w:tc>
        <w:tc>
          <w:tcPr>
            <w:tcW w:w="873" w:type="dxa"/>
            <w:tcBorders>
              <w:top w:val="nil"/>
              <w:left w:val="nil"/>
              <w:bottom w:val="single" w:color="auto" w:sz="4" w:space="0"/>
              <w:right w:val="single" w:color="auto" w:sz="4" w:space="0"/>
            </w:tcBorders>
            <w:noWrap w:val="0"/>
            <w:vAlign w:val="center"/>
          </w:tcPr>
          <w:p w14:paraId="7AB5ECE7">
            <w:pPr>
              <w:widowControl/>
              <w:spacing w:line="240" w:lineRule="exact"/>
              <w:jc w:val="center"/>
              <w:rPr>
                <w:rFonts w:hint="eastAsia" w:ascii="仿宋" w:hAnsi="仿宋" w:eastAsia="仿宋" w:cs="仿宋"/>
                <w:color w:val="000000"/>
                <w:sz w:val="18"/>
                <w:szCs w:val="18"/>
                <w:highlight w:val="none"/>
              </w:rPr>
            </w:pPr>
          </w:p>
        </w:tc>
        <w:tc>
          <w:tcPr>
            <w:tcW w:w="1446" w:type="dxa"/>
            <w:tcBorders>
              <w:top w:val="nil"/>
              <w:left w:val="nil"/>
              <w:bottom w:val="single" w:color="auto" w:sz="4" w:space="0"/>
              <w:right w:val="single" w:color="auto" w:sz="4" w:space="0"/>
            </w:tcBorders>
            <w:noWrap w:val="0"/>
            <w:vAlign w:val="center"/>
          </w:tcPr>
          <w:p w14:paraId="730E0F13">
            <w:pPr>
              <w:widowControl/>
              <w:spacing w:line="240" w:lineRule="exact"/>
              <w:jc w:val="center"/>
              <w:rPr>
                <w:rFonts w:hint="eastAsia" w:ascii="仿宋" w:hAnsi="仿宋" w:eastAsia="仿宋" w:cs="仿宋"/>
                <w:color w:val="000000"/>
                <w:sz w:val="18"/>
                <w:szCs w:val="18"/>
                <w:highlight w:val="none"/>
              </w:rPr>
            </w:pPr>
          </w:p>
        </w:tc>
      </w:tr>
      <w:tr w14:paraId="78F63725">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14:paraId="64B7079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14:paraId="1CBAA8B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14:paraId="5DE5959C">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14:paraId="0046596F">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774D87EB">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文红莲</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2024年6月27日</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15173063101</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14:paraId="631971D9">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3"/>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14:paraId="01EB95E0">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11473EC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14:paraId="14226C8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14:paraId="12111C6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岳阳市君山区钱粮湖血防站　</w:t>
            </w:r>
          </w:p>
        </w:tc>
      </w:tr>
      <w:tr w14:paraId="42622B55">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14:paraId="0607674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14:paraId="1AC630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岳阳市君山区卫生健康局</w:t>
            </w:r>
          </w:p>
        </w:tc>
        <w:tc>
          <w:tcPr>
            <w:tcW w:w="1134" w:type="dxa"/>
            <w:tcBorders>
              <w:top w:val="single" w:color="auto" w:sz="4" w:space="0"/>
              <w:left w:val="nil"/>
              <w:bottom w:val="single" w:color="auto" w:sz="4" w:space="0"/>
              <w:right w:val="single" w:color="000000" w:sz="4" w:space="0"/>
            </w:tcBorders>
            <w:noWrap w:val="0"/>
            <w:vAlign w:val="center"/>
          </w:tcPr>
          <w:p w14:paraId="428E9BC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14:paraId="490DFD1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岳阳市君山区钱粮湖血防站</w:t>
            </w:r>
          </w:p>
        </w:tc>
      </w:tr>
      <w:tr w14:paraId="40C06BBC">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448CF68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14:paraId="36B5D54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14:paraId="7928F0D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14:paraId="2A48728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519DBAB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14:paraId="55DD6ED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78B5E9AD">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14:paraId="1683BA7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14:paraId="00A0036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1A78D09D">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14:paraId="1AE523E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6880F547">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4A08F0F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0FAF63B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14:paraId="4DB5326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DD31C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DF0B39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7196D8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14:paraId="145BC4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A7EB5A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7E5BFC5">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4FDA3A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67A0A8E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14:paraId="27C3573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E8D443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23179D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E929DB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AEA334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6AE91D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9A5A6A4">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1765DC0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275A2B24">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14:paraId="13E693E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690BC6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AE70AA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5B174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EB0230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47E1E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F5D83BE">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280B86C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3AF9104C">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14:paraId="216D488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ACDB1C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8A58F1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D6558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E6BAE8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62E546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62EC376">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439212F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14:paraId="57D754E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14:paraId="3328847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65B75FAC">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48AAA5A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14:paraId="458271E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4253" w:type="dxa"/>
            <w:gridSpan w:val="4"/>
            <w:tcBorders>
              <w:top w:val="single" w:color="auto" w:sz="4" w:space="0"/>
              <w:left w:val="nil"/>
              <w:bottom w:val="single" w:color="auto" w:sz="4" w:space="0"/>
              <w:right w:val="single" w:color="auto" w:sz="4" w:space="0"/>
            </w:tcBorders>
            <w:noWrap w:val="0"/>
            <w:vAlign w:val="center"/>
          </w:tcPr>
          <w:p w14:paraId="228B41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24A8CEB">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43ADAA4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6584925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53F7F59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61FF3E2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14:paraId="1607E3A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14:paraId="790F514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14:paraId="5049453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14:paraId="5D620F2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14:paraId="29420CF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14:paraId="6E217F7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14:paraId="70B3834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14:paraId="4720730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18BAD66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14:paraId="068715FB">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5BCB45E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C6461D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5E4D17F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11C465F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14:paraId="399FB4D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14:paraId="0809EE0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14:paraId="1BC9BA4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03CC048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DE844E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1A9C55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656806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83029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27E5EF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4678A6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8FB2F7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FFC0503">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C2D7A1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695015C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72901C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DF155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9A9554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ED0CC5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97F95D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1EB3AB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3D2ED8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0F679B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231E9A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1E9A5EA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C23ED4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534786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3E14FB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CDFE63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44F838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8529F4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BB018C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0A4D2DB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14:paraId="4EC8A4B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4AE3A35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E408DB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B4088A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9C1C98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9218C4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DA1DB7F">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B7B30D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9F9FB5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E4569B1">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0C217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722EAE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2733B2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E29889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DD78D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057F85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AC4450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FE1301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AACA07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0AB2DC0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423F64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6AF49FE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BD1AB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1DE1A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F00C04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47B0E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8D19BA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2C99BB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390726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1138BD3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14:paraId="7038C72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448486C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0DD3E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50F398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C5C015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4050EE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5220DD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F5FB7E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6CF68D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8CD4837">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027021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0F5A86A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CB2FA5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AB81E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D3C27C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FDF80E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D28A14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2C4227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EC07F4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7CAB6B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313F31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617ED2B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7A11B5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553245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BA4447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C4FDE8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1B1DDD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BDFF87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A7FFA5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693032D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14:paraId="079958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D47AA3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D0AFD2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0A0D1C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469A46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6C7625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C5DED8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EB6127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360648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D2B816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E6D316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9B301F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C35AFC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89E7F5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A0C27E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58CE27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7693A7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D16755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665BF5F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4031512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A74BF9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0571D5B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E5FB30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9BC97C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7BECD3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1FDB34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F09C0C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2FFBCB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56B611D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6034526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14:paraId="03D634A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144A96B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14:paraId="7EF6E09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209D609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4E5FE7C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37C4C18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ECABEC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CA377D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790790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5BC558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F1EC5B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3AD160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EC4BE0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2A04FEE">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055AD83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EBBC79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AB83A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913E6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9FDCC8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05D82B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7E463B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B36612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49FE7C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39353D3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43769A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7D3BBE1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A38F8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0ECD79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AB68ED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4B6054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F6D19C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D87759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0FA377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53C1199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73D283A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02575DE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DCDC2E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1F323E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84B09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0D1059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558C18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D3E006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18CD21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DE7FA5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267DBB4">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0671132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0F2F3A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572582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3F597F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09638C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95073A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60D971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BC4A92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249FA2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6FC6CFB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A0AE6D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1B85A3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527DBE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022AB3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488F7C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F93609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233E711">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F2B2BB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F13F61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13CD237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7B612D3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4E2F392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5A63FF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500C25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6CDD6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3B6BF4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F55413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64E401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E36C98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F77432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7310B6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2490E8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8DB3EB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0F409A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10CB72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0B0803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A5C5B5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2ABE03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3B4CE2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3A7D0F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380BF27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11F860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5BA2EAF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95600F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68C23F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CA58A2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1A32A0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C4BE03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CE4525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E892A9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14:paraId="491BD26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2A5CCA5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6B27B6B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FC7CD7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0B7ED33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0C32A2A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07832F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F715B31">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9B7F8B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4417BC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14:paraId="208B1A4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14:paraId="642AAAF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14:paraId="393335D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14:paraId="56C0DC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14:paraId="4D7074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14:paraId="22ABF46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60C0020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4CE2FF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28588F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6FE546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14:paraId="6F6DD55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C889C1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0DEEB39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7E45349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E55167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DEB14F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91EA2C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BA810B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191201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5362ABD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3E5B2E9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002B31A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14:paraId="6CCBBD8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14:paraId="0A8CF3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9CC1C1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AB70BC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2DEEF1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E830B8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63EBC2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23FFE6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98C7B7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3FC8FE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85918C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3C3B474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584A91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0D5D4A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4B9DB7B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C7EAFA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42764B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A3C649C">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14:paraId="6A9BA1F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61CFEA9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283AB4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917070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72FCE2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9ADCB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0E056D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7B5CE4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F8D6AA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649E110">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14:paraId="0E36E59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14:paraId="240CC22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14:paraId="72A687A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0B3D9E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15EAA777">
      <w:pPr>
        <w:rPr>
          <w:rFonts w:hint="default" w:ascii="Times New Roman" w:hAnsi="Times New Roman" w:eastAsia="仿宋_GB2312" w:cs="Times New Roman"/>
          <w:sz w:val="18"/>
          <w:szCs w:val="18"/>
          <w:highlight w:val="none"/>
        </w:rPr>
      </w:pPr>
    </w:p>
    <w:p w14:paraId="03CCCC63">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14:paraId="15D8537E">
      <w:pPr>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文红莲</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2024年6月27日</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15173063101</w:t>
      </w:r>
      <w:r>
        <w:rPr>
          <w:rFonts w:hint="default" w:ascii="Times New Roman" w:hAnsi="Times New Roman" w:eastAsia="仿宋_GB2312" w:cs="Times New Roman"/>
          <w:sz w:val="22"/>
          <w:highlight w:val="none"/>
        </w:rPr>
        <w:t xml:space="preserve">            单位负责人签字：</w:t>
      </w:r>
    </w:p>
    <w:p w14:paraId="1572D530">
      <w:pPr>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14:paraId="6B168162">
      <w:pPr>
        <w:jc w:val="center"/>
        <w:rPr>
          <w:rFonts w:hint="default" w:ascii="Times New Roman" w:hAnsi="Times New Roman" w:eastAsia="方正小标宋_GBK" w:cs="Times New Roman"/>
          <w:sz w:val="52"/>
          <w:szCs w:val="52"/>
          <w:highlight w:val="none"/>
        </w:rPr>
      </w:pPr>
    </w:p>
    <w:p w14:paraId="77E49593">
      <w:pPr>
        <w:jc w:val="center"/>
        <w:rPr>
          <w:rFonts w:hint="eastAsia" w:ascii="方正小标宋简体" w:hAnsi="方正小标宋简体" w:eastAsia="方正小标宋简体" w:cs="方正小标宋简体"/>
          <w:sz w:val="36"/>
          <w:szCs w:val="36"/>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年度岳阳市君山区钱粮湖血防站整体支出</w:t>
      </w:r>
    </w:p>
    <w:p w14:paraId="6F1BB623">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36"/>
          <w:szCs w:val="36"/>
          <w:highlight w:val="none"/>
        </w:rPr>
        <w:t>绩效自评报告</w:t>
      </w:r>
    </w:p>
    <w:p w14:paraId="218AAA3A">
      <w:pPr>
        <w:jc w:val="center"/>
        <w:rPr>
          <w:rFonts w:hint="default" w:ascii="Times New Roman" w:hAnsi="Times New Roman" w:eastAsia="方正小标宋_GBK" w:cs="Times New Roman"/>
          <w:b/>
          <w:sz w:val="52"/>
          <w:szCs w:val="52"/>
          <w:highlight w:val="none"/>
        </w:rPr>
      </w:pPr>
    </w:p>
    <w:p w14:paraId="07991E75">
      <w:pPr>
        <w:jc w:val="center"/>
        <w:rPr>
          <w:rFonts w:hint="default" w:ascii="Times New Roman" w:hAnsi="Times New Roman" w:eastAsia="楷体_GB2312" w:cs="Times New Roman"/>
          <w:b/>
          <w:sz w:val="32"/>
          <w:szCs w:val="32"/>
          <w:highlight w:val="none"/>
        </w:rPr>
      </w:pPr>
    </w:p>
    <w:p w14:paraId="376F5578">
      <w:pPr>
        <w:jc w:val="center"/>
        <w:rPr>
          <w:rFonts w:hint="default" w:ascii="Times New Roman" w:hAnsi="Times New Roman" w:eastAsia="楷体_GB2312" w:cs="Times New Roman"/>
          <w:b/>
          <w:sz w:val="32"/>
          <w:szCs w:val="32"/>
          <w:highlight w:val="none"/>
        </w:rPr>
      </w:pPr>
    </w:p>
    <w:p w14:paraId="17BE47A8">
      <w:pPr>
        <w:jc w:val="center"/>
        <w:rPr>
          <w:rFonts w:hint="default" w:ascii="Times New Roman" w:hAnsi="Times New Roman" w:eastAsia="楷体_GB2312" w:cs="Times New Roman"/>
          <w:b/>
          <w:sz w:val="32"/>
          <w:szCs w:val="32"/>
          <w:highlight w:val="none"/>
        </w:rPr>
      </w:pPr>
    </w:p>
    <w:p w14:paraId="2C0ED963">
      <w:pPr>
        <w:jc w:val="center"/>
        <w:rPr>
          <w:rFonts w:hint="default" w:ascii="Times New Roman" w:hAnsi="Times New Roman" w:eastAsia="楷体_GB2312" w:cs="Times New Roman"/>
          <w:b/>
          <w:sz w:val="32"/>
          <w:szCs w:val="32"/>
          <w:highlight w:val="none"/>
        </w:rPr>
      </w:pPr>
    </w:p>
    <w:p w14:paraId="4DC6FB59">
      <w:pPr>
        <w:jc w:val="center"/>
        <w:rPr>
          <w:rFonts w:hint="default" w:ascii="Times New Roman" w:hAnsi="Times New Roman" w:eastAsia="楷体_GB2312" w:cs="Times New Roman"/>
          <w:b/>
          <w:sz w:val="32"/>
          <w:szCs w:val="32"/>
          <w:highlight w:val="none"/>
        </w:rPr>
      </w:pPr>
    </w:p>
    <w:p w14:paraId="4431E7EB">
      <w:pPr>
        <w:jc w:val="center"/>
        <w:rPr>
          <w:rFonts w:hint="default" w:ascii="Times New Roman" w:hAnsi="Times New Roman" w:eastAsia="楷体_GB2312" w:cs="Times New Roman"/>
          <w:b/>
          <w:sz w:val="32"/>
          <w:szCs w:val="32"/>
          <w:highlight w:val="none"/>
        </w:rPr>
      </w:pPr>
    </w:p>
    <w:p w14:paraId="4DA395A1">
      <w:pPr>
        <w:jc w:val="center"/>
        <w:rPr>
          <w:rFonts w:hint="default" w:ascii="Times New Roman" w:hAnsi="Times New Roman" w:eastAsia="黑体" w:cs="Times New Roman"/>
          <w:sz w:val="32"/>
          <w:szCs w:val="32"/>
          <w:highlight w:val="none"/>
        </w:rPr>
      </w:pPr>
    </w:p>
    <w:p w14:paraId="16BEAC84">
      <w:pPr>
        <w:jc w:val="center"/>
        <w:rPr>
          <w:rFonts w:hint="default" w:ascii="Times New Roman" w:hAnsi="Times New Roman" w:eastAsia="黑体" w:cs="Times New Roman"/>
          <w:sz w:val="32"/>
          <w:szCs w:val="32"/>
          <w:highlight w:val="none"/>
        </w:rPr>
      </w:pPr>
    </w:p>
    <w:p w14:paraId="3A204CBD">
      <w:pPr>
        <w:jc w:val="center"/>
        <w:rPr>
          <w:rFonts w:hint="default" w:ascii="Times New Roman" w:hAnsi="Times New Roman" w:eastAsia="黑体" w:cs="Times New Roman"/>
          <w:sz w:val="32"/>
          <w:szCs w:val="32"/>
          <w:highlight w:val="none"/>
        </w:rPr>
      </w:pPr>
    </w:p>
    <w:p w14:paraId="7F6EDDB6">
      <w:pPr>
        <w:jc w:val="both"/>
        <w:rPr>
          <w:rFonts w:hint="default" w:ascii="Times New Roman" w:hAnsi="Times New Roman" w:eastAsia="黑体" w:cs="Times New Roman"/>
          <w:sz w:val="32"/>
          <w:szCs w:val="32"/>
          <w:highlight w:val="none"/>
        </w:rPr>
      </w:pPr>
    </w:p>
    <w:p w14:paraId="615B891A">
      <w:pPr>
        <w:jc w:val="center"/>
        <w:rPr>
          <w:rFonts w:hint="default" w:ascii="Times New Roman" w:hAnsi="Times New Roman" w:eastAsia="黑体" w:cs="Times New Roman"/>
          <w:sz w:val="32"/>
          <w:szCs w:val="32"/>
          <w:highlight w:val="none"/>
        </w:rPr>
      </w:pPr>
    </w:p>
    <w:p w14:paraId="4C84ECBE">
      <w:pPr>
        <w:jc w:val="center"/>
        <w:rPr>
          <w:rFonts w:hint="default" w:ascii="Times New Roman" w:hAnsi="Times New Roman" w:eastAsia="黑体" w:cs="Times New Roman"/>
          <w:sz w:val="32"/>
          <w:szCs w:val="32"/>
          <w:highlight w:val="none"/>
        </w:rPr>
      </w:pPr>
    </w:p>
    <w:p w14:paraId="6A8F2886">
      <w:pPr>
        <w:jc w:val="center"/>
        <w:rPr>
          <w:rFonts w:hint="default" w:ascii="Times New Roman" w:hAnsi="Times New Roman" w:eastAsia="黑体" w:cs="Times New Roman"/>
          <w:sz w:val="32"/>
          <w:szCs w:val="32"/>
          <w:highlight w:val="none"/>
        </w:rPr>
      </w:pPr>
    </w:p>
    <w:p w14:paraId="31E72385">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岳阳市君山区钱粮湖血防站（盖章）</w:t>
      </w:r>
    </w:p>
    <w:p w14:paraId="08B9A603">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27</w:t>
      </w:r>
      <w:r>
        <w:rPr>
          <w:rFonts w:hint="default" w:ascii="Times New Roman" w:hAnsi="Times New Roman" w:eastAsia="楷体_GB2312" w:cs="Times New Roman"/>
          <w:sz w:val="32"/>
          <w:szCs w:val="32"/>
          <w:highlight w:val="none"/>
        </w:rPr>
        <w:t>日</w:t>
      </w:r>
    </w:p>
    <w:p w14:paraId="240450F2">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14:paraId="7F48C1DD">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年度君山区钱粮湖血防站整体支出</w:t>
      </w:r>
    </w:p>
    <w:p w14:paraId="472DC93C">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14:paraId="17EAAA28">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14:paraId="659E757B">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一、部门（单位）基本情况</w:t>
      </w:r>
    </w:p>
    <w:p w14:paraId="07A4E68E">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仿宋" w:hAnsi="仿宋" w:eastAsia="仿宋" w:cs="仿宋"/>
          <w:sz w:val="32"/>
          <w:szCs w:val="32"/>
          <w:highlight w:val="none"/>
        </w:rPr>
        <w:t>岳阳市君山区钱粮湖血防站主要承担为辖区内血吸虫病人提供医疗与护理服务，开展疾病预防、健康咨询、健康教育、预防保健及社区卫生服务活动；承担突发事件的医疗急救任务。</w:t>
      </w:r>
    </w:p>
    <w:p w14:paraId="2733D65E">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14:paraId="63ED1DD0">
      <w:pPr>
        <w:pStyle w:val="6"/>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（一）基本支出情况</w:t>
      </w:r>
    </w:p>
    <w:p w14:paraId="64A2BCD1">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rPr>
      </w:pPr>
      <w:r>
        <w:rPr>
          <w:rFonts w:hint="eastAsia" w:ascii="仿宋" w:hAnsi="仿宋" w:eastAsia="仿宋" w:cs="仿宋"/>
          <w:b w:val="0"/>
          <w:bCs/>
          <w:sz w:val="32"/>
          <w:szCs w:val="32"/>
          <w:highlight w:val="none"/>
        </w:rPr>
        <w:t>2023年,单位基本支出总额为</w:t>
      </w:r>
      <w:r>
        <w:rPr>
          <w:rFonts w:hint="eastAsia" w:ascii="仿宋" w:hAnsi="仿宋" w:eastAsia="仿宋" w:cs="仿宋"/>
          <w:b w:val="0"/>
          <w:bCs/>
          <w:sz w:val="32"/>
          <w:szCs w:val="32"/>
          <w:highlight w:val="none"/>
          <w:lang w:val="en-US" w:eastAsia="zh-CN"/>
        </w:rPr>
        <w:t>338.93</w:t>
      </w:r>
      <w:r>
        <w:rPr>
          <w:rFonts w:hint="eastAsia" w:ascii="仿宋" w:hAnsi="仿宋" w:eastAsia="仿宋" w:cs="仿宋"/>
          <w:b w:val="0"/>
          <w:bCs/>
          <w:sz w:val="32"/>
          <w:szCs w:val="32"/>
          <w:highlight w:val="none"/>
        </w:rPr>
        <w:t>万元，其中人员经费支</w:t>
      </w:r>
      <w:r>
        <w:rPr>
          <w:rFonts w:hint="eastAsia" w:ascii="仿宋" w:hAnsi="仿宋" w:eastAsia="仿宋" w:cs="仿宋"/>
          <w:b w:val="0"/>
          <w:bCs/>
          <w:sz w:val="32"/>
          <w:szCs w:val="32"/>
          <w:highlight w:val="none"/>
          <w:lang w:val="en-US" w:eastAsia="zh-CN"/>
        </w:rPr>
        <w:t>180.01</w:t>
      </w:r>
      <w:r>
        <w:rPr>
          <w:rFonts w:hint="eastAsia" w:ascii="仿宋" w:hAnsi="仿宋" w:eastAsia="仿宋" w:cs="仿宋"/>
          <w:b w:val="0"/>
          <w:bCs/>
          <w:sz w:val="32"/>
          <w:szCs w:val="32"/>
          <w:highlight w:val="none"/>
        </w:rPr>
        <w:t>万元，主要用于职工工资、津补贴、绩效工资及社会缴费等。公用经费支出</w:t>
      </w:r>
      <w:r>
        <w:rPr>
          <w:rFonts w:hint="eastAsia" w:ascii="仿宋" w:hAnsi="仿宋" w:eastAsia="仿宋" w:cs="仿宋"/>
          <w:b w:val="0"/>
          <w:bCs/>
          <w:sz w:val="32"/>
          <w:szCs w:val="32"/>
          <w:highlight w:val="none"/>
          <w:lang w:val="en-US" w:eastAsia="zh-CN"/>
        </w:rPr>
        <w:t>158.92</w:t>
      </w:r>
      <w:r>
        <w:rPr>
          <w:rFonts w:hint="eastAsia" w:ascii="仿宋" w:hAnsi="仿宋" w:eastAsia="仿宋" w:cs="仿宋"/>
          <w:b w:val="0"/>
          <w:bCs/>
          <w:sz w:val="32"/>
          <w:szCs w:val="32"/>
          <w:highlight w:val="none"/>
        </w:rPr>
        <w:t>万元，主要用于办公费、印刷费、水电费、邮电费、取暖费、物业费、差旅费、维修（护）费、租赁费、会议费、培训费、公务接待费、劳务费、委托业务费、工会经费、公务用车运行费、其他交通费用、其他商品和服务支出等单位运转费用支出。</w:t>
      </w:r>
    </w:p>
    <w:p w14:paraId="4AE7FB47">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rPr>
      </w:pPr>
      <w:r>
        <w:rPr>
          <w:rFonts w:hint="eastAsia" w:ascii="仿宋" w:hAnsi="仿宋" w:eastAsia="仿宋" w:cs="仿宋"/>
          <w:b w:val="0"/>
          <w:bCs/>
          <w:sz w:val="32"/>
          <w:szCs w:val="32"/>
          <w:highlight w:val="none"/>
        </w:rPr>
        <w:t>2023年度公务接待费预算金额为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万元，实际支出金额为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万元，公务用车购置及公务用车运行维护费支出预算金额为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万元（其中公务用车购置预算0万元），公务用车运行维护费实际支出金额为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万元（其中公务用车购置决算0万元），因公出国费用预算与实际支出均为0万元，“三公经费”支出总额</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万元，控制在年初预算之内。</w:t>
      </w:r>
    </w:p>
    <w:p w14:paraId="06CB7555">
      <w:pPr>
        <w:pStyle w:val="6"/>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（二）项目支出情况</w:t>
      </w:r>
    </w:p>
    <w:p w14:paraId="02ADDDCA">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eastAsia="zh-CN"/>
        </w:rPr>
      </w:pPr>
      <w:r>
        <w:rPr>
          <w:rFonts w:hint="eastAsia" w:ascii="仿宋" w:hAnsi="仿宋" w:eastAsia="仿宋" w:cs="仿宋"/>
          <w:b w:val="0"/>
          <w:bCs/>
          <w:sz w:val="32"/>
          <w:szCs w:val="32"/>
          <w:highlight w:val="none"/>
          <w:lang w:val="en-US" w:eastAsia="zh-CN"/>
        </w:rPr>
        <w:t>2</w:t>
      </w:r>
      <w:r>
        <w:rPr>
          <w:rFonts w:hint="eastAsia" w:ascii="仿宋" w:hAnsi="仿宋" w:eastAsia="仿宋" w:cs="仿宋"/>
          <w:b w:val="0"/>
          <w:bCs/>
          <w:sz w:val="32"/>
          <w:szCs w:val="32"/>
          <w:highlight w:val="none"/>
        </w:rPr>
        <w:t>023年,</w:t>
      </w:r>
      <w:r>
        <w:rPr>
          <w:rFonts w:hint="eastAsia" w:ascii="仿宋" w:hAnsi="仿宋" w:eastAsia="仿宋" w:cs="仿宋"/>
          <w:b w:val="0"/>
          <w:bCs/>
          <w:sz w:val="32"/>
          <w:szCs w:val="32"/>
          <w:highlight w:val="none"/>
          <w:lang w:val="en-US" w:eastAsia="zh-CN"/>
        </w:rPr>
        <w:t>本</w:t>
      </w:r>
      <w:r>
        <w:rPr>
          <w:rFonts w:hint="eastAsia" w:ascii="仿宋" w:hAnsi="仿宋" w:eastAsia="仿宋" w:cs="仿宋"/>
          <w:b w:val="0"/>
          <w:bCs/>
          <w:sz w:val="32"/>
          <w:szCs w:val="32"/>
          <w:highlight w:val="none"/>
        </w:rPr>
        <w:t>单位</w:t>
      </w:r>
      <w:r>
        <w:rPr>
          <w:rFonts w:hint="eastAsia" w:ascii="仿宋" w:hAnsi="仿宋" w:eastAsia="仿宋" w:cs="仿宋"/>
          <w:b w:val="0"/>
          <w:bCs/>
          <w:sz w:val="32"/>
          <w:szCs w:val="32"/>
          <w:highlight w:val="none"/>
          <w:lang w:val="en-US" w:eastAsia="zh-CN"/>
        </w:rPr>
        <w:t>无项目</w:t>
      </w:r>
      <w:r>
        <w:rPr>
          <w:rFonts w:hint="eastAsia" w:ascii="仿宋" w:hAnsi="仿宋" w:eastAsia="仿宋" w:cs="仿宋"/>
          <w:b w:val="0"/>
          <w:bCs/>
          <w:sz w:val="32"/>
          <w:szCs w:val="32"/>
          <w:highlight w:val="none"/>
        </w:rPr>
        <w:t>支出</w:t>
      </w:r>
      <w:r>
        <w:rPr>
          <w:rFonts w:hint="eastAsia" w:ascii="仿宋" w:hAnsi="仿宋" w:eastAsia="仿宋" w:cs="仿宋"/>
          <w:b w:val="0"/>
          <w:bCs/>
          <w:sz w:val="32"/>
          <w:szCs w:val="32"/>
          <w:highlight w:val="none"/>
          <w:lang w:eastAsia="zh-CN"/>
        </w:rPr>
        <w:t>。</w:t>
      </w:r>
    </w:p>
    <w:p w14:paraId="2C74CC37">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14:paraId="19896C98">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rPr>
      </w:pPr>
      <w:r>
        <w:rPr>
          <w:rFonts w:hint="eastAsia" w:ascii="仿宋" w:hAnsi="仿宋" w:eastAsia="仿宋" w:cs="仿宋"/>
          <w:sz w:val="32"/>
          <w:szCs w:val="32"/>
          <w:highlight w:val="none"/>
        </w:rPr>
        <w:t>本单位无政府性基金预算支出。</w:t>
      </w:r>
    </w:p>
    <w:p w14:paraId="37B99689">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四、国有资本经营预算支出情况</w:t>
      </w:r>
    </w:p>
    <w:p w14:paraId="4F956AD8">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rPr>
      </w:pPr>
      <w:r>
        <w:rPr>
          <w:rFonts w:hint="eastAsia" w:ascii="仿宋" w:hAnsi="仿宋" w:eastAsia="仿宋" w:cs="仿宋"/>
          <w:sz w:val="32"/>
          <w:szCs w:val="32"/>
          <w:highlight w:val="none"/>
        </w:rPr>
        <w:t>本单位无国有资本经营预算支出。</w:t>
      </w:r>
    </w:p>
    <w:p w14:paraId="7619DFDE">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五、社会保险基金预算支出情况</w:t>
      </w:r>
    </w:p>
    <w:p w14:paraId="075E3270">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rPr>
      </w:pPr>
      <w:r>
        <w:rPr>
          <w:rFonts w:hint="eastAsia" w:ascii="仿宋" w:hAnsi="仿宋" w:eastAsia="仿宋" w:cs="仿宋"/>
          <w:sz w:val="32"/>
          <w:szCs w:val="32"/>
          <w:highlight w:val="none"/>
        </w:rPr>
        <w:t>本单位无社会保险基金预算支出。</w:t>
      </w:r>
    </w:p>
    <w:p w14:paraId="7FDD662C">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14:paraId="445D2023">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2023年，我单位顺利完成了年初制定的各项指标任务，血防工作顺利开展，人民群众的血吸虫病防治意识得到进一步加强，预防与救治措施有效开展，辖区内无新增血吸虫病病例，为血吸虫病实现“基消”打下了坚实基础。2023年我单位主要开展了以下工作：</w:t>
      </w:r>
    </w:p>
    <w:p w14:paraId="0803E32D">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Times New Roman" w:hAnsi="Times New Roman" w:eastAsia="仿宋_GB2312" w:cs="Times New Roman"/>
          <w:color w:val="000000"/>
          <w:sz w:val="32"/>
          <w:szCs w:val="32"/>
          <w:highlight w:val="none"/>
          <w:lang w:val="en-US" w:eastAsia="zh-CN"/>
        </w:rPr>
        <w:t>1.查、灭钉螺，完成辖区内查螺面积3662万平方米（其中垸内253万平方米，垸外3409万平方米），药物灭螺465万平方米；2.查、治病人，人群查治工作查病57167人次，化疗859人次；3.健康教育，开展血防宣传周等宣教活动针对性的对重点人群及区域进行健康宣教，确保疫区群众血防知识知晓率达到95%以上；4.重点人群传染源控制，加强汛期抗洪抢险人员、渔船民、水上作业人员、水利工作人员等重点人群触疫水情况排查与预防性化疗。</w:t>
      </w:r>
      <w:r>
        <w:rPr>
          <w:rFonts w:hint="default" w:ascii="Times New Roman" w:hAnsi="Times New Roman" w:eastAsia="仿宋_GB2312" w:cs="Times New Roman"/>
          <w:color w:val="000000"/>
          <w:sz w:val="32"/>
          <w:szCs w:val="32"/>
          <w:highlight w:val="none"/>
        </w:rPr>
        <w:t>　</w:t>
      </w:r>
    </w:p>
    <w:p w14:paraId="71D99F43">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14:paraId="1FA10822">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1.预算执行力度有待进一步提高。因全年血防工作的不确定性，本年预算执行率与上年相比虽有所提升，但资金支付效率还有待进一步提升，年末部分资金形成结余，预工作算执行力度需进一步加强。</w:t>
      </w:r>
    </w:p>
    <w:p w14:paraId="194BEA1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2.预算不够精准。我单位年初预算数和年末决算数差距较大，大部分经费都是通过年中预算追加实现，预算工作的准确性和全面性有待提高。</w:t>
      </w:r>
    </w:p>
    <w:p w14:paraId="5400B382">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八、下一步改进措施</w:t>
      </w:r>
    </w:p>
    <w:p w14:paraId="7F178C8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1.加强单位部门间沟通协调，及时掌握工作进度，及时申请预算资金，进一步提高预算的准确性和执行率。</w:t>
      </w:r>
    </w:p>
    <w:p w14:paraId="75DDD0ED">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2.加强部门间沟通与协作，根据进度及时与财政部门沟通申请预算资金，提高资金支付效率。</w:t>
      </w:r>
    </w:p>
    <w:p w14:paraId="4CC4CF9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14:paraId="563AE4CC">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仿宋" w:hAnsi="仿宋" w:eastAsia="仿宋" w:cs="仿宋"/>
          <w:sz w:val="32"/>
          <w:szCs w:val="32"/>
          <w:highlight w:val="none"/>
        </w:rPr>
        <w:t>部门整体支出绩效自评结果将作为完善本单位相关制度，改进资金管理的重要依据，同时，也将作为单位内部工作总结的参考依据。本单位的预算绩效目标、预算、决算及绩效评价均按相关规定及时在</w:t>
      </w:r>
      <w:r>
        <w:rPr>
          <w:rFonts w:hint="eastAsia" w:ascii="仿宋" w:hAnsi="仿宋" w:eastAsia="仿宋" w:cs="仿宋"/>
          <w:sz w:val="32"/>
          <w:szCs w:val="32"/>
          <w:highlight w:val="none"/>
          <w:lang w:val="en-US" w:eastAsia="zh-CN"/>
        </w:rPr>
        <w:t>政府</w:t>
      </w:r>
      <w:r>
        <w:rPr>
          <w:rFonts w:hint="eastAsia" w:ascii="仿宋" w:hAnsi="仿宋" w:eastAsia="仿宋" w:cs="仿宋"/>
          <w:sz w:val="32"/>
          <w:szCs w:val="32"/>
          <w:highlight w:val="none"/>
        </w:rPr>
        <w:t>门户网站进行了公开。</w:t>
      </w:r>
    </w:p>
    <w:p w14:paraId="53A1367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十、</w:t>
      </w:r>
      <w:r>
        <w:rPr>
          <w:rFonts w:hint="default" w:ascii="Times New Roman" w:hAnsi="Times New Roman" w:eastAsia="黑体" w:cs="Times New Roman"/>
          <w:sz w:val="32"/>
          <w:szCs w:val="32"/>
          <w:highlight w:val="none"/>
        </w:rPr>
        <w:t>其他需要说明的情况</w:t>
      </w:r>
    </w:p>
    <w:p w14:paraId="5AC8641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本单位没有其他需要说明的情况。</w:t>
      </w:r>
    </w:p>
    <w:p w14:paraId="13763C8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p>
    <w:p w14:paraId="1408DB57">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w:t>
      </w:r>
    </w:p>
    <w:p w14:paraId="5BB296F0">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14:paraId="48F1FF69">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14:paraId="4818D36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14:paraId="632C3E4A">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14:paraId="78BADF00">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14:paraId="2C5D7C7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14:paraId="2F5A9A95">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14:paraId="080545FD">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3"/>
        <w:tblW w:w="9941" w:type="dxa"/>
        <w:jc w:val="center"/>
        <w:tblLayout w:type="fixed"/>
        <w:tblCellMar>
          <w:top w:w="0" w:type="dxa"/>
          <w:left w:w="108" w:type="dxa"/>
          <w:bottom w:w="0" w:type="dxa"/>
          <w:right w:w="108" w:type="dxa"/>
        </w:tblCellMar>
      </w:tblPr>
      <w:tblGrid>
        <w:gridCol w:w="745"/>
        <w:gridCol w:w="1174"/>
        <w:gridCol w:w="5000"/>
        <w:gridCol w:w="3022"/>
      </w:tblGrid>
      <w:tr w14:paraId="188102EC">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1CE5099A">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14:paraId="769B2174">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14:paraId="218AC7C7">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14:paraId="34DC691F">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14:paraId="76FA629E">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77123AFA">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14:paraId="1AC9B8B9">
            <w:pPr>
              <w:spacing w:line="300" w:lineRule="exact"/>
              <w:jc w:val="center"/>
              <w:rPr>
                <w:rFonts w:hint="default" w:ascii="Times New Roman" w:hAnsi="Times New Roman" w:eastAsia="仿宋_GB2312" w:cs="Times New Roman"/>
                <w:sz w:val="20"/>
                <w:szCs w:val="20"/>
                <w:highlight w:val="none"/>
              </w:rPr>
            </w:pPr>
          </w:p>
          <w:p w14:paraId="528D0AEF">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14:paraId="3AEF58A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14:paraId="4B6AAAB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14:paraId="7E01383A">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14:paraId="7BEB8C2E">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14:paraId="5B795275">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14:paraId="06398210">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6BE74F71">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3100CD5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14:paraId="078A4625">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14:paraId="5A854C49">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14:paraId="4BBB921B">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14:paraId="4F51B1FC">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3686654D">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14:paraId="27963BDE">
            <w:pPr>
              <w:spacing w:line="300" w:lineRule="exact"/>
              <w:jc w:val="center"/>
              <w:rPr>
                <w:rFonts w:hint="default" w:ascii="Times New Roman" w:hAnsi="Times New Roman" w:eastAsia="仿宋_GB2312" w:cs="Times New Roman"/>
                <w:sz w:val="20"/>
                <w:szCs w:val="20"/>
                <w:highlight w:val="none"/>
              </w:rPr>
            </w:pPr>
          </w:p>
          <w:p w14:paraId="7028826A">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14:paraId="4F1B233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14:paraId="0AC9BBB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14:paraId="319EBF41">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14:paraId="5B7037EE">
            <w:pPr>
              <w:numPr>
                <w:ilvl w:val="0"/>
                <w:numId w:val="1"/>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14:paraId="5A70BE8A">
            <w:pPr>
              <w:numPr>
                <w:ilvl w:val="0"/>
                <w:numId w:val="1"/>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14:paraId="082AE557">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16DE781E">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14:paraId="746BB34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14:paraId="68A3A2B5">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14:paraId="4BF22A5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14:paraId="3E59709E">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14:paraId="4D8A752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14:paraId="7BD9B9D5">
            <w:pPr>
              <w:spacing w:line="300" w:lineRule="exact"/>
              <w:jc w:val="center"/>
              <w:rPr>
                <w:rFonts w:hint="default" w:ascii="Times New Roman" w:hAnsi="Times New Roman" w:eastAsia="仿宋_GB2312" w:cs="Times New Roman"/>
                <w:sz w:val="20"/>
                <w:szCs w:val="20"/>
                <w:highlight w:val="none"/>
              </w:rPr>
            </w:pPr>
          </w:p>
          <w:p w14:paraId="104077F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14:paraId="57EE3B4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14:paraId="55C5783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7BE4A25E">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14:paraId="45B14119">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14:paraId="400E74EF">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4BC73C69">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14:paraId="25833B4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14:paraId="5D13E52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14:paraId="7EC6695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2FE874D9">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14:paraId="29470282">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14:paraId="469FB92C">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14:paraId="35DE9BAB">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41D6A265">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1AFC0DBC">
            <w:pPr>
              <w:jc w:val="center"/>
              <w:rPr>
                <w:rFonts w:hint="default" w:ascii="Times New Roman" w:hAnsi="Times New Roman" w:cs="Times New Roman"/>
                <w:highlight w:val="none"/>
              </w:rPr>
            </w:pPr>
          </w:p>
          <w:p w14:paraId="43786B86">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14:paraId="00329AD6">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14:paraId="1A23A1B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0DD6FAC2">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14:paraId="2F0F5C23">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68AA84F8">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3DE50648">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14:paraId="1E297C51">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6B163B7B">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14:paraId="69C24922">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1CADFB8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14:paraId="0E4E9D7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14:paraId="4E7CC239">
            <w:pPr>
              <w:spacing w:line="300" w:lineRule="exact"/>
              <w:jc w:val="center"/>
              <w:rPr>
                <w:rFonts w:hint="default" w:ascii="Times New Roman" w:hAnsi="Times New Roman" w:eastAsia="仿宋_GB2312" w:cs="Times New Roman"/>
                <w:sz w:val="20"/>
                <w:szCs w:val="20"/>
                <w:highlight w:val="none"/>
                <w:lang w:val="en-US" w:eastAsia="zh-CN"/>
              </w:rPr>
            </w:pPr>
            <w:r>
              <w:rPr>
                <w:rFonts w:hint="eastAsia" w:ascii="Times New Roman" w:hAnsi="Times New Roman" w:eastAsia="仿宋_GB2312" w:cs="Times New Roman"/>
                <w:sz w:val="20"/>
                <w:szCs w:val="20"/>
                <w:highlight w:val="none"/>
                <w:lang w:val="en-US" w:eastAsia="zh-CN"/>
              </w:rPr>
              <w:t>98分</w:t>
            </w:r>
          </w:p>
        </w:tc>
      </w:tr>
    </w:tbl>
    <w:p w14:paraId="4E64A83A">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2000000000000000000"/>
    <w:charset w:val="86"/>
    <w:family w:val="auto"/>
    <w:pitch w:val="default"/>
    <w:sig w:usb0="00000000" w:usb1="00000000" w:usb2="00000012"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DF8822"/>
    <w:multiLevelType w:val="singleLevel"/>
    <w:tmpl w:val="5DDF8822"/>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iYTg5OWJmY2I1OTkzODRmZGNkZTkzMjU2ZTZjOWEifQ=="/>
  </w:docVars>
  <w:rsids>
    <w:rsidRoot w:val="59886344"/>
    <w:rsid w:val="15085902"/>
    <w:rsid w:val="1B194212"/>
    <w:rsid w:val="231204BB"/>
    <w:rsid w:val="59886344"/>
    <w:rsid w:val="66F3527C"/>
    <w:rsid w:val="699F5A2B"/>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customStyle="1" w:styleId="5">
    <w:name w:val="列出段落1"/>
    <w:basedOn w:val="1"/>
    <w:qFormat/>
    <w:uiPriority w:val="34"/>
    <w:pPr>
      <w:ind w:firstLine="420" w:firstLineChars="200"/>
    </w:pPr>
  </w:style>
  <w:style w:type="paragraph" w:styleId="6">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3959</Words>
  <Characters>4343</Characters>
  <Lines>0</Lines>
  <Paragraphs>0</Paragraphs>
  <TotalTime>0</TotalTime>
  <ScaleCrop>false</ScaleCrop>
  <LinksUpToDate>false</LinksUpToDate>
  <CharactersWithSpaces>4745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刘曦</cp:lastModifiedBy>
  <dcterms:modified xsi:type="dcterms:W3CDTF">2024-06-27T12:06:10Z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6182D3A10D564617983F46DEE354AEAF</vt:lpwstr>
  </property>
</Properties>
</file>