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640" w:lineRule="exact"/>
        <w:jc w:val="center"/>
        <w:textAlignment w:val="baseline"/>
        <w:rPr>
          <w:rFonts w:ascii="宋体" w:hAnsi="宋体" w:eastAsia="宋体" w:cs="宋体"/>
          <w:b w:val="0"/>
          <w:bCs w:val="0"/>
          <w:color w:val="auto"/>
          <w:spacing w:val="0"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44"/>
          <w:szCs w:val="44"/>
          <w:lang w:val="en-US" w:eastAsia="zh-CN"/>
        </w:rPr>
        <w:t>君山区城乡居民医疗保险转移支付</w:t>
      </w:r>
      <w:r>
        <w:rPr>
          <w:rFonts w:ascii="宋体" w:hAnsi="宋体" w:eastAsia="宋体" w:cs="宋体"/>
          <w:b w:val="0"/>
          <w:bCs w:val="0"/>
          <w:color w:val="auto"/>
          <w:spacing w:val="0"/>
          <w:sz w:val="44"/>
          <w:szCs w:val="44"/>
        </w:rPr>
        <w:t>2023年度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640" w:lineRule="exact"/>
        <w:jc w:val="center"/>
        <w:textAlignment w:val="baseline"/>
        <w:rPr>
          <w:rFonts w:ascii="宋体" w:hAnsi="宋体" w:eastAsia="宋体" w:cs="宋体"/>
          <w:b w:val="0"/>
          <w:bCs w:val="0"/>
          <w:color w:val="auto"/>
          <w:spacing w:val="0"/>
          <w:sz w:val="44"/>
          <w:szCs w:val="44"/>
        </w:rPr>
      </w:pPr>
      <w:r>
        <w:rPr>
          <w:rFonts w:ascii="宋体" w:hAnsi="宋体" w:eastAsia="宋体" w:cs="宋体"/>
          <w:b w:val="0"/>
          <w:bCs w:val="0"/>
          <w:color w:val="auto"/>
          <w:spacing w:val="0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640" w:lineRule="exact"/>
        <w:ind w:firstLine="880" w:firstLineChars="200"/>
        <w:jc w:val="center"/>
        <w:textAlignment w:val="baseline"/>
        <w:outlineLvl w:val="0"/>
        <w:rPr>
          <w:rFonts w:ascii="黑体" w:hAnsi="黑体" w:eastAsia="黑体" w:cs="黑体"/>
          <w:b w:val="0"/>
          <w:bCs w:val="0"/>
          <w:color w:val="auto"/>
          <w:spacing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bidi w:val="0"/>
        <w:spacing w:line="592" w:lineRule="exact"/>
        <w:ind w:left="0" w:firstLine="640" w:firstLineChars="200"/>
        <w:outlineLvl w:val="0"/>
        <w:rPr>
          <w:rFonts w:ascii="黑体" w:hAnsi="黑体" w:eastAsia="黑体" w:cs="黑体"/>
          <w:b w:val="0"/>
          <w:bCs w:val="0"/>
          <w:color w:val="auto"/>
          <w:spacing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color w:val="auto"/>
          <w:spacing w:val="0"/>
          <w:sz w:val="32"/>
          <w:szCs w:val="32"/>
        </w:rPr>
        <w:t>一、绩效目标分解下达情况</w:t>
      </w: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592" w:lineRule="exact"/>
        <w:ind w:left="0" w:firstLine="640" w:firstLineChars="200"/>
        <w:textAlignment w:val="baseline"/>
        <w:rPr>
          <w:rFonts w:ascii="黑体" w:hAnsi="黑体" w:eastAsia="黑体" w:cs="黑体"/>
          <w:b w:val="0"/>
          <w:bC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kern w:val="0"/>
          <w:sz w:val="32"/>
          <w:szCs w:val="32"/>
          <w:lang w:val="en-US" w:eastAsia="zh-CN" w:bidi="ar-SA"/>
        </w:rPr>
        <w:t>君山区截止2023年6月30日止，城乡居民医保参保人数为179005人（中央、省、市、区财政配套资金的确定人数），2023年度安排资金11456.3</w:t>
      </w:r>
      <w:r>
        <w:rPr>
          <w:rFonts w:hint="eastAsia" w:cs="仿宋"/>
          <w:b w:val="0"/>
          <w:bCs w:val="0"/>
          <w:snapToGrid w:val="0"/>
          <w:color w:val="auto"/>
          <w:spacing w:val="0"/>
          <w:kern w:val="0"/>
          <w:sz w:val="32"/>
          <w:szCs w:val="32"/>
          <w:lang w:val="en-US" w:eastAsia="zh-CN" w:bidi="ar-SA"/>
        </w:rPr>
        <w:t>5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kern w:val="0"/>
          <w:sz w:val="32"/>
          <w:szCs w:val="32"/>
          <w:lang w:val="en-US" w:eastAsia="zh-CN" w:bidi="ar-SA"/>
        </w:rPr>
        <w:t>万元：中央下达我区2023年度城乡居民基本医疗保险补助资金转移支付为6873.8万元（640*60% = 384元*参保人数）；省内资金安排、分解下达我区2023年城乡居民基本医疗保险补助资金转移支付为1833.02万元（640*16% =102.4元*参保人数）；市级资金安排、分解下达我区2023年城乡居民基本医疗保险补助资金转移支付为1260.2万元（640*11%= 70.4元*参保人数）；区级资金安排、分解下达我区2023年城乡居民基本医疗保险补助资金转移支付为1489.33万元（640*13% = 83.2元*参保人数）</w:t>
      </w:r>
      <w:r>
        <w:rPr>
          <w:rFonts w:hint="eastAsia" w:cs="仿宋"/>
          <w:b w:val="0"/>
          <w:bCs w:val="0"/>
          <w:snapToGrid w:val="0"/>
          <w:color w:val="auto"/>
          <w:spacing w:val="0"/>
          <w:kern w:val="0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bidi w:val="0"/>
        <w:spacing w:line="592" w:lineRule="exact"/>
        <w:ind w:left="0" w:firstLine="640" w:firstLineChars="200"/>
        <w:outlineLvl w:val="0"/>
        <w:rPr>
          <w:rFonts w:ascii="黑体" w:hAnsi="黑体" w:eastAsia="黑体" w:cs="黑体"/>
          <w:b w:val="0"/>
          <w:bCs w:val="0"/>
          <w:color w:val="auto"/>
          <w:spacing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color w:val="auto"/>
          <w:spacing w:val="0"/>
          <w:sz w:val="32"/>
          <w:szCs w:val="32"/>
        </w:rPr>
        <w:t>二、绩效情况分析</w:t>
      </w: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/>
        <w:bidi w:val="0"/>
        <w:spacing w:line="592" w:lineRule="exact"/>
        <w:ind w:left="0" w:firstLine="643" w:firstLineChars="200"/>
        <w:rPr>
          <w:rFonts w:ascii="楷体" w:hAnsi="楷体" w:eastAsia="楷体" w:cs="楷体"/>
          <w:b/>
          <w:bCs/>
          <w:color w:val="auto"/>
          <w:spacing w:val="0"/>
          <w:sz w:val="32"/>
          <w:szCs w:val="32"/>
        </w:rPr>
      </w:pPr>
      <w:r>
        <w:rPr>
          <w:rFonts w:ascii="楷体" w:hAnsi="楷体" w:eastAsia="楷体" w:cs="楷体"/>
          <w:b/>
          <w:bCs/>
          <w:color w:val="auto"/>
          <w:spacing w:val="0"/>
          <w:sz w:val="32"/>
          <w:szCs w:val="32"/>
        </w:rPr>
        <w:t>(一)资金投入情况分析。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bidi w:val="0"/>
        <w:spacing w:line="592" w:lineRule="exact"/>
        <w:ind w:left="0" w:firstLine="640" w:firstLineChars="200"/>
        <w:rPr>
          <w:rFonts w:ascii="楷体" w:hAnsi="楷体" w:eastAsia="楷体" w:cs="楷体"/>
          <w:b w:val="0"/>
          <w:bCs w:val="0"/>
          <w:color w:val="auto"/>
          <w:spacing w:val="0"/>
          <w:position w:val="22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202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年度城乡居民医保筹集资金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17725.89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万元。资金来源：个人和部门资助参保资金为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6269.54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各级配套资金为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11456.35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其中：中央财政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6873.8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万元、省级财政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1833.02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万元、市级财政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1260.2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eastAsia="zh-CN"/>
        </w:rPr>
        <w:t>、区级财政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1489.33万元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的资金直接划入市级统筹基金专户（君山区和岳阳楼区等4个区列入市本级后，自201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年起，取消了城乡居民医保基金财政专户，故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eastAsia="zh-CN"/>
        </w:rPr>
        <w:t>中央、省市财政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数据可能有点差异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/>
        <w:bidi w:val="0"/>
        <w:spacing w:line="592" w:lineRule="exact"/>
        <w:ind w:left="0" w:firstLine="643" w:firstLineChars="200"/>
        <w:rPr>
          <w:rFonts w:hint="eastAsia" w:cs="仿宋"/>
          <w:b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ascii="楷体" w:hAnsi="楷体" w:eastAsia="楷体" w:cs="楷体"/>
          <w:b/>
          <w:bCs/>
          <w:color w:val="auto"/>
          <w:spacing w:val="0"/>
          <w:sz w:val="32"/>
          <w:szCs w:val="32"/>
        </w:rPr>
        <w:t>(一)资金</w:t>
      </w:r>
      <w:r>
        <w:rPr>
          <w:rFonts w:hint="eastAsia" w:ascii="楷体" w:hAnsi="楷体" w:eastAsia="楷体" w:cs="楷体"/>
          <w:b/>
          <w:bCs/>
          <w:color w:val="auto"/>
          <w:spacing w:val="0"/>
          <w:sz w:val="32"/>
          <w:szCs w:val="32"/>
          <w:lang w:val="en-US" w:eastAsia="zh-CN"/>
        </w:rPr>
        <w:t>管理</w:t>
      </w:r>
      <w:r>
        <w:rPr>
          <w:rFonts w:ascii="楷体" w:hAnsi="楷体" w:eastAsia="楷体" w:cs="楷体"/>
          <w:b/>
          <w:bCs/>
          <w:color w:val="auto"/>
          <w:spacing w:val="0"/>
          <w:sz w:val="32"/>
          <w:szCs w:val="32"/>
        </w:rPr>
        <w:t>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592" w:lineRule="exact"/>
        <w:ind w:left="0" w:firstLine="640" w:firstLineChars="200"/>
        <w:textAlignment w:val="baseline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</w:pPr>
      <w:r>
        <w:rPr>
          <w:rFonts w:hint="eastAsia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城乡居民医疗保险自取消区财政专户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纳入市级统筹后，我区每季度根据基金使用进度分批向市医疗保障局申请预拨资金，同时提交申请报告和上月基金支出户银行余额回单。严格执行和落实省、市医疗保障局制定的城乡居民基本医疗保险政策兑</w:t>
      </w:r>
      <w:r>
        <w:rPr>
          <w:rFonts w:hint="eastAsia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付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补助基金。按医保基金财务管理制度要求设立支出户，严格按照基金管理制度管理医保基金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使用、支付，到区医疗保障事务中心执行报账的机构和个人一律实行集中会审和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eastAsia="zh-CN"/>
        </w:rPr>
        <w:t>系统线上转账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。按月、按季度和协议医疗机构审核、清算和结算，及时将医院垫付的兑付款拨付到位。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2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2023年城乡居民基金结余2128.68万元，收支平衡，略有节余，保证了可持续发展。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绩效指标完成情况分析。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 w:val="0"/>
        <w:overflowPunct/>
        <w:topLinePunct/>
        <w:bidi w:val="0"/>
        <w:spacing w:line="592" w:lineRule="exact"/>
        <w:ind w:firstLine="643" w:firstLineChars="200"/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  <w:lang w:val="en-US" w:eastAsia="zh-CN"/>
        </w:rPr>
        <w:t>1.数量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</w:rPr>
        <w:t>指标完成情况: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bidi w:val="0"/>
        <w:spacing w:line="592" w:lineRule="exact"/>
        <w:ind w:left="0" w:firstLine="640" w:firstLineChars="200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以户籍人口为基础计算的基本医保综合参保率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eastAsia="zh-CN"/>
        </w:rPr>
        <w:t>为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78.09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%；202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年君山区户籍人口为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246516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人，基本医保参保人员为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192491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人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其中职工医保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13486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人，城乡居民医保参保为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179005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bidi w:val="0"/>
        <w:spacing w:line="592" w:lineRule="exact"/>
        <w:ind w:left="0" w:firstLine="640" w:firstLineChars="200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（2）以常住人口为基础计算的基本医保综合参保率为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95.47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%；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年君山区常住人口为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201634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人，基本医保参保人员为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192491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人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其中职工医保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13486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人，城乡居民医保参保为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179005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人。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bidi w:val="0"/>
        <w:spacing w:line="592" w:lineRule="exact"/>
        <w:ind w:left="0" w:firstLine="640" w:firstLineChars="200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（3）本区不存在重复参保人数。本区一直在省、市医保局的指导下开展参保数据信息清洗工作。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bidi w:val="0"/>
        <w:spacing w:line="592" w:lineRule="exact"/>
        <w:ind w:left="0" w:firstLine="640" w:firstLineChars="200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（4）本区不存在虚报参保人数。全部参保数据真实有效。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bidi w:val="0"/>
        <w:spacing w:line="592" w:lineRule="exact"/>
        <w:ind w:left="0" w:firstLine="643" w:firstLineChars="200"/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  <w:lang w:val="en-US" w:eastAsia="zh-CN"/>
        </w:rPr>
        <w:t>2.质量和时效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</w:rPr>
        <w:t>指标完成情况分析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bidi w:val="0"/>
        <w:spacing w:line="592" w:lineRule="exact"/>
        <w:ind w:left="0" w:firstLine="640" w:firstLineChars="200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（1）2023年及时拨付医疗保险待遇15597.21万元；保障住院补助金额10873.47万元，其中市级统一提取的意外伤害保险721.62万元；门诊补助金额3209.24万元，其中享受“两病”待遇人次54597，门诊慢特病待遇人次23880；购买大病保险178177人1514.5万元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bidi w:val="0"/>
        <w:spacing w:line="592" w:lineRule="exact"/>
        <w:ind w:left="0" w:firstLine="640" w:firstLineChars="200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）按病种（组）、按人头付费等支付方式改革落实。如认真按照省市文件落实106个单病种政策。对协议医疗机构实行次均住院费用最高限定，并纳入协议管理。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bidi w:val="0"/>
        <w:spacing w:line="592" w:lineRule="exact"/>
        <w:ind w:left="0" w:firstLine="640" w:firstLineChars="200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）普遍开展门诊统筹，实现个人账户向门诊统筹的过渡。2019年11月，本区制定了《君山区城乡居民基本医疗保险门诊统筹实施细则》（君医保发〔2019〕13号）文件，自2020年1月起正式实施。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592" w:lineRule="exact"/>
        <w:ind w:lef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DIP支付方式改革。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从源头上加强医保控费工作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按照市局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统一安排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，积极督促并组织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第二批试点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医疗机构完成DIP支付方式改革工作。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bidi w:val="0"/>
        <w:spacing w:line="592" w:lineRule="exact"/>
        <w:ind w:left="0" w:firstLine="643" w:firstLineChars="200"/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  <w:lang w:val="en-US" w:eastAsia="zh-CN"/>
        </w:rPr>
        <w:t>3.经济指标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</w:rPr>
        <w:t>完成情况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  <w:lang w:val="en-US" w:eastAsia="zh-CN"/>
        </w:rPr>
        <w:t>分析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</w:rPr>
        <w:t>: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bidi w:val="0"/>
        <w:spacing w:line="592" w:lineRule="exact"/>
        <w:ind w:left="0" w:firstLine="640" w:firstLineChars="200"/>
        <w:rPr>
          <w:rFonts w:hint="default" w:ascii="仿宋_GB2312" w:hAnsi="仿宋_GB2312" w:eastAsia="仿宋_GB2312" w:cs="仿宋_GB2312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各级财政配套资金按总额标准640元/人在规定时间内拨付到位。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 w:val="0"/>
        <w:overflowPunct/>
        <w:topLinePunct/>
        <w:bidi w:val="0"/>
        <w:spacing w:line="592" w:lineRule="exact"/>
        <w:ind w:firstLine="643" w:firstLineChars="200"/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  <w:lang w:val="en-US" w:eastAsia="zh-CN"/>
        </w:rPr>
        <w:t>4.经济成本和社会效益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</w:rPr>
        <w:t>指标完成情况分析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 w:val="0"/>
        <w:overflowPunct/>
        <w:topLinePunct/>
        <w:bidi w:val="0"/>
        <w:spacing w:line="592" w:lineRule="exact"/>
        <w:ind w:firstLine="640" w:firstLineChars="200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城居基本医疗保险在一个自然年度内，住院费用最高支付限额为15万元、大病保险最高限额为40万元；大幅减轻参保居民的医疗费用负担。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 w:val="0"/>
        <w:overflowPunct/>
        <w:topLinePunct/>
        <w:bidi w:val="0"/>
        <w:spacing w:line="592" w:lineRule="exact"/>
        <w:ind w:firstLine="643" w:firstLineChars="200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</w:rPr>
        <w:t>满意度指标完成情况分析</w:t>
      </w:r>
      <w:r>
        <w:rPr>
          <w:rFonts w:hint="eastAsia" w:ascii="仿宋" w:hAnsi="仿宋" w:eastAsia="仿宋" w:cs="仿宋"/>
          <w:b/>
          <w:bCs/>
          <w:color w:val="auto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 w:val="0"/>
        <w:overflowPunct/>
        <w:topLinePunct/>
        <w:bidi w:val="0"/>
        <w:spacing w:line="592" w:lineRule="exact"/>
        <w:ind w:firstLine="640" w:firstLineChars="200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2023年医保大厅共计接待来访群众约10640人次，接听电话约13230人次，总办件19155人次，其中网办件5747人次，信访回复136人次，其中12345热线回复130条，舆情回复1封，市长信箱2封，岳阳市医保局转派件1封，区纪委转派件1封，湘易办咨询件1封，所有信访件都按规定予以办结，确保群众信访“件件有落实，事事有回应”，没有发生信访舆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592" w:lineRule="exact"/>
        <w:ind w:left="0" w:firstLine="640" w:firstLineChars="200"/>
        <w:textAlignment w:val="baseline"/>
        <w:rPr>
          <w:rFonts w:hint="eastAsia" w:ascii="黑体" w:hAnsi="黑体" w:eastAsia="黑体" w:cs="黑体"/>
          <w:b w:val="0"/>
          <w:bC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0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592" w:lineRule="exact"/>
        <w:ind w:left="0" w:firstLine="640" w:firstLineChars="200"/>
        <w:textAlignment w:val="baseline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医保经办机构和基金监管压力仍然繁重。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kern w:val="0"/>
          <w:sz w:val="32"/>
          <w:szCs w:val="32"/>
          <w:lang w:val="en-US" w:eastAsia="zh-CN" w:bidi="ar-SA"/>
        </w:rPr>
        <w:t>我局工作人员年龄结构不优，素质参差不齐，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医学背景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b w:val="0"/>
          <w:bCs w:val="0"/>
          <w:snapToGrid w:val="0"/>
          <w:color w:val="auto"/>
          <w:spacing w:val="0"/>
          <w:kern w:val="0"/>
          <w:sz w:val="32"/>
          <w:szCs w:val="32"/>
          <w:lang w:val="en-US" w:eastAsia="zh-CN" w:bidi="ar-SA"/>
        </w:rPr>
        <w:t>专业人员欠缺，特别是监管人员力量不足等问题，严重制约了日常监管工作的推进。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建议增加区医疗保障局行政编制，招聘招录医学、法律专业人才，加强医保执法能力建设，切实做好基金监管工作，保证基金运行安全。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592" w:lineRule="exact"/>
        <w:ind w:left="0" w:firstLine="640" w:firstLineChars="200"/>
        <w:textAlignment w:val="baseline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政策宣传力度需要进一步加大。目前还有部分居民对医保政策不了解，不愿意参保，生病住院了才来办理参保。我们还要多角度、全方位地加大宣传力度，探索医保政策宣传新途径，清除政策宣传死角。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592" w:lineRule="exact"/>
        <w:ind w:left="0" w:firstLine="640" w:firstLineChars="200"/>
        <w:textAlignment w:val="baseline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医疗监管力度需要加大，定点医疗机构违规行为时有发生，处罚力度需要进一步加大。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592" w:lineRule="exact"/>
        <w:ind w:left="0" w:firstLine="640" w:firstLineChars="200"/>
        <w:textAlignment w:val="baseline"/>
        <w:rPr>
          <w:rFonts w:hint="eastAsia" w:ascii="黑体" w:hAnsi="黑体" w:eastAsia="黑体" w:cs="黑体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0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color w:val="auto"/>
          <w:spacing w:val="0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592" w:lineRule="exact"/>
        <w:ind w:left="0" w:firstLine="640" w:firstLineChars="200"/>
        <w:textAlignment w:val="baseline"/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en-US"/>
        </w:rPr>
        <w:t>本年度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绩效自评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en-US"/>
        </w:rPr>
        <w:t>评价结论为优秀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，并将自评报告公开于政府网站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en-US"/>
        </w:rPr>
        <w:t>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592" w:lineRule="exact"/>
        <w:ind w:left="0" w:firstLine="640" w:firstLineChars="200"/>
        <w:textAlignment w:val="baseline"/>
        <w:rPr>
          <w:rFonts w:hint="eastAsia" w:ascii="黑体" w:hAnsi="黑体" w:eastAsia="黑体" w:cs="黑体"/>
          <w:b w:val="0"/>
          <w:bC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0"/>
          <w:sz w:val="32"/>
          <w:szCs w:val="32"/>
        </w:rPr>
        <w:t>五 、其他需要说明的问题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592" w:lineRule="exact"/>
        <w:ind w:left="0" w:firstLine="640" w:firstLineChars="200"/>
        <w:textAlignment w:val="baseline"/>
        <w:rPr>
          <w:rFonts w:hint="default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事务中心财务室财务人员严格按照财务制度审批拨付医疗保险待遇，在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财会监督中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没有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发现的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大的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问题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  <w:lang w:val="en-US" w:eastAsia="zh-CN"/>
        </w:rPr>
        <w:t>并暂未接收对其2023年的工作进行审计。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592" w:lineRule="exact"/>
        <w:ind w:left="0" w:firstLine="640" w:firstLineChars="200"/>
        <w:textAlignment w:val="baseline"/>
        <w:rPr>
          <w:rFonts w:hint="eastAsia" w:ascii="黑体" w:hAnsi="黑体" w:eastAsia="黑体" w:cs="黑体"/>
          <w:b w:val="0"/>
          <w:bCs w:val="0"/>
          <w:color w:val="auto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pacing w:val="0"/>
          <w:sz w:val="32"/>
          <w:szCs w:val="32"/>
        </w:rPr>
        <w:t>六 、附件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 w:val="0"/>
        <w:autoSpaceDN w:val="0"/>
        <w:bidi w:val="0"/>
        <w:adjustRightInd w:val="0"/>
        <w:snapToGrid w:val="0"/>
        <w:spacing w:line="592" w:lineRule="exact"/>
        <w:ind w:left="0" w:firstLine="640" w:firstLineChars="200"/>
        <w:textAlignment w:val="baseline"/>
        <w:rPr>
          <w:rFonts w:hint="eastAsia" w:ascii="宋体" w:hAnsi="宋体" w:eastAsia="宋体" w:cs="宋体"/>
          <w:b w:val="0"/>
          <w:bCs w:val="0"/>
          <w:color w:val="auto"/>
          <w:spacing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0"/>
          <w:sz w:val="32"/>
          <w:szCs w:val="32"/>
        </w:rPr>
        <w:t>转移支付区域(项目)绩效自评表</w:t>
      </w:r>
    </w:p>
    <w:p>
      <w:pPr>
        <w:rPr>
          <w:rFonts w:hint="eastAsia" w:ascii="宋体" w:hAnsi="宋体" w:eastAsia="宋体" w:cs="宋体"/>
          <w:b w:val="0"/>
          <w:bCs w:val="0"/>
          <w:color w:val="auto"/>
          <w:spacing w:val="0"/>
          <w:sz w:val="30"/>
          <w:szCs w:val="30"/>
          <w:lang w:val="en-US" w:eastAsia="zh-CN"/>
        </w:rPr>
        <w:sectPr>
          <w:footerReference r:id="rId5" w:type="default"/>
          <w:pgSz w:w="12093" w:h="16979"/>
          <w:pgMar w:top="1440" w:right="1800" w:bottom="1440" w:left="1800" w:header="0" w:footer="0" w:gutter="0"/>
          <w:paperSrc/>
          <w:cols w:space="0" w:num="1"/>
          <w:rtlGutter w:val="0"/>
          <w:docGrid w:linePitch="0" w:charSpace="0"/>
        </w:sectPr>
      </w:pPr>
    </w:p>
    <w:p>
      <w:pPr>
        <w:keepNext w:val="0"/>
        <w:keepLines w:val="0"/>
        <w:pageBreakBefore w:val="0"/>
        <w:widowControl w:val="0"/>
        <w:overflowPunct/>
        <w:bidi w:val="0"/>
        <w:spacing w:before="11" w:line="219" w:lineRule="auto"/>
        <w:ind w:firstLine="300" w:firstLineChars="100"/>
        <w:jc w:val="both"/>
        <w:rPr>
          <w:rFonts w:ascii="宋体" w:hAnsi="宋体" w:eastAsia="宋体" w:cs="宋体"/>
          <w:b w:val="0"/>
          <w:bCs w:val="0"/>
          <w:color w:val="auto"/>
          <w:spacing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30"/>
          <w:szCs w:val="30"/>
          <w:lang w:val="en-US" w:eastAsia="zh-CN"/>
        </w:rPr>
        <w:t>君山区城乡居民医疗保险</w:t>
      </w:r>
      <w:r>
        <w:rPr>
          <w:rFonts w:ascii="宋体" w:hAnsi="宋体" w:eastAsia="宋体" w:cs="宋体"/>
          <w:b w:val="0"/>
          <w:bCs w:val="0"/>
          <w:color w:val="auto"/>
          <w:spacing w:val="0"/>
          <w:sz w:val="30"/>
          <w:szCs w:val="30"/>
        </w:rPr>
        <w:t>转移支付区域(项目)绩效自评表</w:t>
      </w:r>
    </w:p>
    <w:p>
      <w:pPr>
        <w:keepNext w:val="0"/>
        <w:keepLines w:val="0"/>
        <w:pageBreakBefore w:val="0"/>
        <w:widowControl w:val="0"/>
        <w:overflowPunct/>
        <w:bidi w:val="0"/>
        <w:spacing w:before="103" w:line="219" w:lineRule="auto"/>
        <w:ind w:left="4184"/>
        <w:rPr>
          <w:rFonts w:ascii="宋体" w:hAnsi="宋体" w:eastAsia="宋体" w:cs="宋体"/>
          <w:b w:val="0"/>
          <w:bCs w:val="0"/>
          <w:color w:val="auto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18"/>
          <w:szCs w:val="18"/>
          <w:lang w:eastAsia="zh-CN"/>
        </w:rPr>
        <w:t>（</w:t>
      </w:r>
      <w:r>
        <w:rPr>
          <w:rFonts w:ascii="宋体" w:hAnsi="宋体" w:eastAsia="宋体" w:cs="宋体"/>
          <w:b w:val="0"/>
          <w:bCs w:val="0"/>
          <w:color w:val="auto"/>
          <w:spacing w:val="0"/>
          <w:sz w:val="18"/>
          <w:szCs w:val="18"/>
        </w:rPr>
        <w:t>2023年度</w:t>
      </w:r>
      <w:r>
        <w:rPr>
          <w:rFonts w:hint="eastAsia" w:ascii="宋体" w:hAnsi="宋体" w:eastAsia="宋体" w:cs="宋体"/>
          <w:b w:val="0"/>
          <w:bCs w:val="0"/>
          <w:color w:val="auto"/>
          <w:spacing w:val="0"/>
          <w:sz w:val="18"/>
          <w:szCs w:val="1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overflowPunct/>
        <w:bidi w:val="0"/>
        <w:spacing w:line="44" w:lineRule="exact"/>
        <w:rPr>
          <w:b w:val="0"/>
          <w:bCs w:val="0"/>
          <w:color w:val="auto"/>
          <w:spacing w:val="0"/>
        </w:rPr>
      </w:pPr>
    </w:p>
    <w:tbl>
      <w:tblPr>
        <w:tblStyle w:val="6"/>
        <w:tblW w:w="96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3"/>
        <w:gridCol w:w="447"/>
        <w:gridCol w:w="1086"/>
        <w:gridCol w:w="2023"/>
        <w:gridCol w:w="1533"/>
        <w:gridCol w:w="1220"/>
        <w:gridCol w:w="1012"/>
        <w:gridCol w:w="19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54" w:hRule="atLeast"/>
        </w:trPr>
        <w:tc>
          <w:tcPr>
            <w:tcW w:w="1996" w:type="dxa"/>
            <w:gridSpan w:val="3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52" w:line="219" w:lineRule="auto"/>
              <w:ind w:left="134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转移支付(项目)名称</w:t>
            </w:r>
          </w:p>
        </w:tc>
        <w:tc>
          <w:tcPr>
            <w:tcW w:w="770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城乡居民基本医疗保险补助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1996" w:type="dxa"/>
            <w:gridSpan w:val="3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48" w:line="216" w:lineRule="auto"/>
              <w:ind w:left="404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中央主管部门</w:t>
            </w:r>
          </w:p>
        </w:tc>
        <w:tc>
          <w:tcPr>
            <w:tcW w:w="770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国家医保局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96" w:type="dxa"/>
            <w:gridSpan w:val="3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49" w:line="216" w:lineRule="auto"/>
              <w:ind w:left="404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地方主管部门</w:t>
            </w: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8"/>
                <w:szCs w:val="18"/>
                <w:lang w:val="en-US" w:eastAsia="zh-CN"/>
              </w:rPr>
              <w:t>君山区医疗保障局</w:t>
            </w:r>
          </w:p>
        </w:tc>
        <w:tc>
          <w:tcPr>
            <w:tcW w:w="122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49" w:line="216" w:lineRule="auto"/>
              <w:ind w:left="36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资金使用单位</w:t>
            </w:r>
          </w:p>
        </w:tc>
        <w:tc>
          <w:tcPr>
            <w:tcW w:w="292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8"/>
                <w:szCs w:val="18"/>
                <w:lang w:val="en-US" w:eastAsia="zh-CN"/>
              </w:rPr>
              <w:t>岳阳市君山区医疗保障事务中心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996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73" w:lineRule="auto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74" w:lineRule="auto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59" w:line="220" w:lineRule="auto"/>
              <w:ind w:left="404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资金投入情况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5" w:line="220" w:lineRule="auto"/>
              <w:ind w:left="674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(万元)</w:t>
            </w:r>
          </w:p>
        </w:tc>
        <w:tc>
          <w:tcPr>
            <w:tcW w:w="20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53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29" w:line="219" w:lineRule="auto"/>
              <w:ind w:left="104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全年预算数(A)</w:t>
            </w:r>
          </w:p>
        </w:tc>
        <w:tc>
          <w:tcPr>
            <w:tcW w:w="2232" w:type="dxa"/>
            <w:gridSpan w:val="2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29" w:line="219" w:lineRule="auto"/>
              <w:ind w:left="417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全年执行数(B)</w:t>
            </w:r>
          </w:p>
        </w:tc>
        <w:tc>
          <w:tcPr>
            <w:tcW w:w="191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48" w:line="195" w:lineRule="auto"/>
              <w:ind w:left="508" w:right="362" w:hanging="50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预算执行率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 xml:space="preserve">  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(B/A×100%)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996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202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50" w:line="219" w:lineRule="auto"/>
              <w:ind w:left="23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年度资金总额：</w:t>
            </w: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22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996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202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50" w:line="220" w:lineRule="auto"/>
              <w:ind w:left="102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其中：中央财政资金</w:t>
            </w: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  <w:t>6873.8</w:t>
            </w:r>
          </w:p>
        </w:tc>
        <w:tc>
          <w:tcPr>
            <w:tcW w:w="22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  <w:t>6873.8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996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202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51" w:line="221" w:lineRule="auto"/>
              <w:ind w:left="652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地方财政资金</w:t>
            </w: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  <w:t>4582.55</w:t>
            </w:r>
          </w:p>
        </w:tc>
        <w:tc>
          <w:tcPr>
            <w:tcW w:w="22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  <w:t>4582.55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996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202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50" w:line="220" w:lineRule="auto"/>
              <w:ind w:left="682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其他资金</w:t>
            </w:r>
          </w:p>
        </w:tc>
        <w:tc>
          <w:tcPr>
            <w:tcW w:w="15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  <w:t>6269.54</w:t>
            </w:r>
          </w:p>
        </w:tc>
        <w:tc>
          <w:tcPr>
            <w:tcW w:w="22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  <w:t>4140.86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21"/>
                <w:lang w:val="en-US" w:eastAsia="zh-CN"/>
              </w:rPr>
              <w:t>66.09%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1996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46" w:lineRule="auto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46" w:lineRule="auto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46" w:lineRule="auto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47" w:lineRule="auto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59" w:line="219" w:lineRule="auto"/>
              <w:ind w:left="404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资金管理情况</w:t>
            </w:r>
          </w:p>
        </w:tc>
        <w:tc>
          <w:tcPr>
            <w:tcW w:w="20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765" w:type="dxa"/>
            <w:gridSpan w:val="3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50" w:line="215" w:lineRule="auto"/>
              <w:ind w:left="1454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情况说明</w:t>
            </w:r>
          </w:p>
        </w:tc>
        <w:tc>
          <w:tcPr>
            <w:tcW w:w="191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50" w:line="215" w:lineRule="auto"/>
              <w:ind w:left="98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存在问题和改进措施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6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202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49" w:line="215" w:lineRule="auto"/>
              <w:ind w:left="23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分配科学性</w:t>
            </w:r>
          </w:p>
        </w:tc>
        <w:tc>
          <w:tcPr>
            <w:tcW w:w="37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  <w:t>严格按制度和管理办法规定的范围和标准分配资金。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996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202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52" w:line="221" w:lineRule="auto"/>
              <w:ind w:left="23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下达及时性</w:t>
            </w:r>
          </w:p>
        </w:tc>
        <w:tc>
          <w:tcPr>
            <w:tcW w:w="37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  <w:t>严格按条例和规定的时效分解下达资金。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996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202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51" w:line="219" w:lineRule="auto"/>
              <w:ind w:left="23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拨付合规性</w:t>
            </w:r>
          </w:p>
        </w:tc>
        <w:tc>
          <w:tcPr>
            <w:tcW w:w="37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  <w:t>严格按制度支付资金。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atLeast"/>
        </w:trPr>
        <w:tc>
          <w:tcPr>
            <w:tcW w:w="1996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202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51" w:line="213" w:lineRule="auto"/>
              <w:ind w:left="23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使用规范性</w:t>
            </w:r>
          </w:p>
        </w:tc>
        <w:tc>
          <w:tcPr>
            <w:tcW w:w="37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  <w:t>严格按下达预算的科目和项目执行。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996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202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52" w:line="213" w:lineRule="auto"/>
              <w:ind w:left="23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执行准确性</w:t>
            </w:r>
          </w:p>
        </w:tc>
        <w:tc>
          <w:tcPr>
            <w:tcW w:w="37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  <w:t>严格按安排的金额执行，不存在执行数偏离预算数较多的问题。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996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202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52" w:line="219" w:lineRule="auto"/>
              <w:ind w:left="23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预算绩效管理情况</w:t>
            </w:r>
          </w:p>
        </w:tc>
        <w:tc>
          <w:tcPr>
            <w:tcW w:w="37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  <w:t>开展绩效监控和绩效评价。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996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2023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52" w:line="219" w:lineRule="auto"/>
              <w:ind w:left="23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支出责任履行情况</w:t>
            </w:r>
          </w:p>
        </w:tc>
        <w:tc>
          <w:tcPr>
            <w:tcW w:w="37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spacing w:val="0"/>
                <w:kern w:val="0"/>
                <w:sz w:val="18"/>
                <w:szCs w:val="18"/>
                <w:lang w:val="en-US" w:eastAsia="zh-CN" w:bidi="ar-SA"/>
              </w:rPr>
              <w:t>各级财政下拨资金足额及时到位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</w:trPr>
        <w:tc>
          <w:tcPr>
            <w:tcW w:w="463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5" w:line="211" w:lineRule="auto"/>
              <w:ind w:left="15" w:right="42" w:firstLine="10"/>
              <w:jc w:val="both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总体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 xml:space="preserve"> 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目标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 xml:space="preserve"> 完成 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情况</w:t>
            </w:r>
          </w:p>
        </w:tc>
        <w:tc>
          <w:tcPr>
            <w:tcW w:w="5089" w:type="dxa"/>
            <w:gridSpan w:val="4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43" w:line="211" w:lineRule="auto"/>
              <w:ind w:left="2090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总体目标</w:t>
            </w:r>
          </w:p>
        </w:tc>
        <w:tc>
          <w:tcPr>
            <w:tcW w:w="4147" w:type="dxa"/>
            <w:gridSpan w:val="3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42" w:line="212" w:lineRule="auto"/>
              <w:ind w:left="1286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全年实际完成情况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1" w:hRule="atLeast"/>
        </w:trPr>
        <w:tc>
          <w:tcPr>
            <w:tcW w:w="463" w:type="dxa"/>
            <w:vMerge w:val="continue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508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  <w:t>目标1：巩固参保率。</w:t>
            </w:r>
          </w:p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  <w:t>目标2：稳步提高保障水平。</w:t>
            </w:r>
          </w:p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  <w:t>目标3：实现基金收支平衡。</w:t>
            </w:r>
          </w:p>
        </w:tc>
        <w:tc>
          <w:tcPr>
            <w:tcW w:w="414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  <w:t>全区城乡居民医保参保按常住人口为基数计算参保率达9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  <w:lang w:val="en-US" w:eastAsia="zh-CN"/>
              </w:rPr>
              <w:t>5.47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  <w:t>%；按时足额跟进财政补助资金到位；按政策落实参保人医疗待遇；及时监测资金使用情况，加强风险预警；加强医保政策宣传，提升群众对医保政策的知晓率和满意度。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463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18" w:line="217" w:lineRule="auto"/>
              <w:ind w:left="3288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绩效指标</w:t>
            </w:r>
          </w:p>
        </w:tc>
        <w:tc>
          <w:tcPr>
            <w:tcW w:w="447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5" w:line="202" w:lineRule="auto"/>
              <w:ind w:left="10" w:right="26" w:firstLine="10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一级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 xml:space="preserve"> 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34" w:line="220" w:lineRule="auto"/>
              <w:ind w:left="151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二级指标</w:t>
            </w:r>
          </w:p>
        </w:tc>
        <w:tc>
          <w:tcPr>
            <w:tcW w:w="3556" w:type="dxa"/>
            <w:gridSpan w:val="2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34" w:line="220" w:lineRule="auto"/>
              <w:ind w:left="1353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三级指标</w:t>
            </w:r>
          </w:p>
        </w:tc>
        <w:tc>
          <w:tcPr>
            <w:tcW w:w="1220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34" w:line="219" w:lineRule="auto"/>
              <w:ind w:left="306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指标值</w:t>
            </w:r>
          </w:p>
        </w:tc>
        <w:tc>
          <w:tcPr>
            <w:tcW w:w="101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25" w:line="202" w:lineRule="auto"/>
              <w:ind w:left="318" w:right="38" w:hanging="290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全年实际完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 xml:space="preserve"> 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成值</w:t>
            </w:r>
          </w:p>
        </w:tc>
        <w:tc>
          <w:tcPr>
            <w:tcW w:w="1915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34" w:line="219" w:lineRule="auto"/>
              <w:ind w:left="8"/>
              <w:jc w:val="center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未完成原因和改进措施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28" w:line="216" w:lineRule="auto"/>
              <w:ind w:left="1119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265" w:line="219" w:lineRule="auto"/>
              <w:ind w:left="151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数量指标</w:t>
            </w: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  <w:lang w:val="en-US" w:eastAsia="zh-CN"/>
              </w:rPr>
              <w:t>医保人数参保率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19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9"/>
                <w:lang w:val="en-US" w:eastAsia="zh-CN"/>
              </w:rPr>
              <w:t>95%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19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9"/>
                <w:lang w:val="en-US" w:eastAsia="zh-CN"/>
              </w:rPr>
              <w:t>95.47%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9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  <w:lang w:val="en-US" w:eastAsia="zh-CN"/>
              </w:rPr>
              <w:t>重复参保参数（人）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hint="eastAsia" w:ascii="Arial" w:eastAsia="宋体"/>
                <w:b w:val="0"/>
                <w:bCs w:val="0"/>
                <w:color w:val="auto"/>
                <w:spacing w:val="0"/>
                <w:sz w:val="19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9"/>
                <w:lang w:val="en-US" w:eastAsia="zh-CN"/>
              </w:rPr>
              <w:t>0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hint="eastAsia" w:ascii="Arial" w:eastAsia="宋体"/>
                <w:b w:val="0"/>
                <w:bCs w:val="0"/>
                <w:color w:val="auto"/>
                <w:spacing w:val="0"/>
                <w:sz w:val="19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9"/>
                <w:lang w:val="en-US" w:eastAsia="zh-CN"/>
              </w:rPr>
              <w:t>0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9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  <w:lang w:val="en-US" w:eastAsia="zh-CN"/>
              </w:rPr>
              <w:t>虚假参保人数（人）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hint="eastAsia" w:ascii="Arial" w:eastAsia="宋体"/>
                <w:b w:val="0"/>
                <w:bCs w:val="0"/>
                <w:color w:val="auto"/>
                <w:spacing w:val="0"/>
                <w:sz w:val="17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7"/>
                <w:lang w:val="en-US" w:eastAsia="zh-CN"/>
              </w:rPr>
              <w:t>0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hint="eastAsia" w:ascii="Arial" w:eastAsia="宋体"/>
                <w:b w:val="0"/>
                <w:bCs w:val="0"/>
                <w:color w:val="auto"/>
                <w:spacing w:val="0"/>
                <w:sz w:val="17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7"/>
                <w:lang w:val="en-US" w:eastAsia="zh-CN"/>
              </w:rPr>
              <w:t>0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255" w:line="220" w:lineRule="auto"/>
              <w:ind w:left="151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质量指标</w:t>
            </w: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9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  <w:t>医疗保险待遇保障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9" w:lineRule="exact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19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9"/>
                <w:lang w:val="en-US" w:eastAsia="zh-CN"/>
              </w:rPr>
              <w:t>100%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9" w:lineRule="exact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19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9"/>
                <w:lang w:val="en-US" w:eastAsia="zh-CN"/>
              </w:rPr>
              <w:t>100%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9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9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199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199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199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199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257" w:line="220" w:lineRule="auto"/>
              <w:ind w:left="151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时效指标</w:t>
            </w: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overflowPunct/>
              <w:bidi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auto"/>
                <w:spacing w:val="0"/>
                <w:kern w:val="0"/>
                <w:sz w:val="18"/>
                <w:szCs w:val="18"/>
                <w:u w:val="none"/>
                <w:lang w:val="en-US" w:eastAsia="zh-CN" w:bidi="ar"/>
              </w:rPr>
              <w:t>医疗保险待遇支付完成及时率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18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8"/>
                <w:lang w:val="en-US" w:eastAsia="zh-CN"/>
              </w:rPr>
              <w:t>100%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18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8"/>
                <w:lang w:val="en-US" w:eastAsia="zh-CN"/>
              </w:rPr>
              <w:t>100%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27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9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9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9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256" w:line="219" w:lineRule="auto"/>
              <w:ind w:left="151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成本指标</w:t>
            </w: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  <w:t>封顶住院补偿金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  <w:lang w:val="en-US" w:eastAsia="zh-CN"/>
              </w:rPr>
              <w:t>万元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17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7"/>
                <w:lang w:val="en-US" w:eastAsia="zh-CN"/>
              </w:rPr>
              <w:t>55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17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7"/>
                <w:lang w:val="en-US" w:eastAsia="zh-CN"/>
              </w:rPr>
              <w:t>55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restart"/>
            <w:tcBorders>
              <w:bottom w:val="nil"/>
            </w:tcBorders>
            <w:textDirection w:val="tbRlV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27" w:line="217" w:lineRule="auto"/>
              <w:ind w:left="1121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57" w:line="218" w:lineRule="auto"/>
              <w:ind w:left="330" w:right="165" w:hanging="179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经济效益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 xml:space="preserve"> 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指标</w:t>
            </w: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  <w:t>财政补助资金到位情况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18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8"/>
                <w:lang w:val="en-US" w:eastAsia="zh-CN"/>
              </w:rPr>
              <w:t>640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18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8"/>
                <w:lang w:val="en-US" w:eastAsia="zh-CN"/>
              </w:rPr>
              <w:t>640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9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9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9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67" w:line="218" w:lineRule="auto"/>
              <w:ind w:left="330" w:right="165" w:hanging="179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社会效益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 xml:space="preserve"> 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指标</w:t>
            </w: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  <w:t>医疗保险问题得到保障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18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8"/>
                <w:lang w:val="en-US" w:eastAsia="zh-CN"/>
              </w:rPr>
              <w:t>100%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18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8"/>
                <w:lang w:val="en-US" w:eastAsia="zh-CN"/>
              </w:rPr>
              <w:t>100%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9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9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9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57" w:line="218" w:lineRule="auto"/>
              <w:ind w:left="330" w:right="165" w:hanging="179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生态效益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 xml:space="preserve"> 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指标</w:t>
            </w: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76" w:line="208" w:lineRule="auto"/>
              <w:ind w:left="320" w:right="52" w:hanging="259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可持续影响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 xml:space="preserve"> 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指标</w:t>
            </w: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  <w:lang w:val="en-US" w:eastAsia="zh-CN"/>
              </w:rPr>
              <w:t>基金滚存结余可支配月数（月）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19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9"/>
                <w:lang w:val="en-US" w:eastAsia="zh-CN"/>
              </w:rPr>
              <w:t>0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19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9"/>
                <w:lang w:val="en-US" w:eastAsia="zh-CN"/>
              </w:rPr>
              <w:t>9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exact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19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18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88" w:line="94" w:lineRule="exact"/>
              <w:ind w:left="451"/>
              <w:rPr>
                <w:b w:val="0"/>
                <w:bCs w:val="0"/>
                <w:color w:val="auto"/>
                <w:spacing w:val="0"/>
                <w:sz w:val="6"/>
                <w:szCs w:val="6"/>
              </w:rPr>
            </w:pPr>
            <w:r>
              <w:rPr>
                <w:b w:val="0"/>
                <w:bCs w:val="0"/>
                <w:color w:val="auto"/>
                <w:spacing w:val="0"/>
                <w:position w:val="1"/>
                <w:sz w:val="6"/>
                <w:szCs w:val="6"/>
              </w:rPr>
              <w:t>……</w:t>
            </w: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198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198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198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198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67" w:line="206" w:lineRule="auto"/>
              <w:ind w:left="20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满意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line="220" w:lineRule="auto"/>
              <w:ind w:left="20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度指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5" w:line="220" w:lineRule="auto"/>
              <w:ind w:left="111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标</w:t>
            </w:r>
          </w:p>
        </w:tc>
        <w:tc>
          <w:tcPr>
            <w:tcW w:w="1086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168" w:line="217" w:lineRule="auto"/>
              <w:ind w:left="61" w:right="74" w:firstLine="90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服务对象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 xml:space="preserve">  </w:t>
            </w: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满意度指标</w:t>
            </w: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  <w:t>服务满意度</w:t>
            </w: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18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8"/>
                <w:lang w:val="en-US" w:eastAsia="zh-CN"/>
              </w:rPr>
              <w:t>95%</w:t>
            </w: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default" w:ascii="Arial" w:eastAsia="宋体"/>
                <w:b w:val="0"/>
                <w:bCs w:val="0"/>
                <w:color w:val="auto"/>
                <w:spacing w:val="0"/>
                <w:sz w:val="18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pacing w:val="0"/>
                <w:sz w:val="18"/>
                <w:lang w:val="en-US" w:eastAsia="zh-CN"/>
              </w:rPr>
              <w:t>95%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sz w:val="18"/>
                <w:szCs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2" w:hRule="atLeast"/>
        </w:trPr>
        <w:tc>
          <w:tcPr>
            <w:tcW w:w="463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Merge w:val="continue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355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2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10" w:lineRule="exact"/>
              <w:jc w:val="center"/>
              <w:rPr>
                <w:rFonts w:ascii="Arial"/>
                <w:b w:val="0"/>
                <w:bCs w:val="0"/>
                <w:color w:val="auto"/>
                <w:spacing w:val="0"/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463" w:type="dxa"/>
            <w:vMerge w:val="continue"/>
            <w:tcBorders>
              <w:top w:val="nil"/>
            </w:tcBorders>
            <w:textDirection w:val="tbRlV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rPr>
                <w:rFonts w:ascii="Arial"/>
                <w:b w:val="0"/>
                <w:bCs w:val="0"/>
                <w:color w:val="auto"/>
                <w:spacing w:val="0"/>
                <w:sz w:val="21"/>
              </w:rPr>
            </w:pPr>
          </w:p>
        </w:tc>
        <w:tc>
          <w:tcPr>
            <w:tcW w:w="1086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89" w:line="94" w:lineRule="exact"/>
              <w:ind w:left="611"/>
              <w:rPr>
                <w:b w:val="0"/>
                <w:bCs w:val="0"/>
                <w:color w:val="auto"/>
                <w:spacing w:val="0"/>
                <w:sz w:val="6"/>
                <w:szCs w:val="6"/>
              </w:rPr>
            </w:pPr>
            <w:r>
              <w:rPr>
                <w:b w:val="0"/>
                <w:bCs w:val="0"/>
                <w:color w:val="auto"/>
                <w:spacing w:val="0"/>
                <w:position w:val="1"/>
                <w:sz w:val="6"/>
                <w:szCs w:val="6"/>
              </w:rPr>
              <w:t>…</w:t>
            </w:r>
          </w:p>
        </w:tc>
        <w:tc>
          <w:tcPr>
            <w:tcW w:w="355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  <w:tc>
          <w:tcPr>
            <w:tcW w:w="12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  <w:tc>
          <w:tcPr>
            <w:tcW w:w="10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  <w:tc>
          <w:tcPr>
            <w:tcW w:w="191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overflowPunct/>
              <w:bidi w:val="0"/>
              <w:spacing w:line="200" w:lineRule="exact"/>
              <w:rPr>
                <w:rFonts w:ascii="Arial"/>
                <w:b w:val="0"/>
                <w:bCs w:val="0"/>
                <w:color w:val="auto"/>
                <w:spacing w:val="0"/>
                <w:sz w:val="17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</w:trPr>
        <w:tc>
          <w:tcPr>
            <w:tcW w:w="463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58" w:line="212" w:lineRule="auto"/>
              <w:ind w:left="15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说明</w:t>
            </w:r>
          </w:p>
        </w:tc>
        <w:tc>
          <w:tcPr>
            <w:tcW w:w="9236" w:type="dxa"/>
            <w:gridSpan w:val="7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 w:val="0"/>
              <w:overflowPunct/>
              <w:bidi w:val="0"/>
              <w:spacing w:before="57" w:line="213" w:lineRule="auto"/>
              <w:ind w:left="10"/>
              <w:rPr>
                <w:b w:val="0"/>
                <w:bCs w:val="0"/>
                <w:color w:val="auto"/>
                <w:spacing w:val="0"/>
                <w:sz w:val="18"/>
                <w:szCs w:val="18"/>
              </w:rPr>
            </w:pPr>
            <w:r>
              <w:rPr>
                <w:b w:val="0"/>
                <w:bCs w:val="0"/>
                <w:color w:val="auto"/>
                <w:spacing w:val="0"/>
                <w:sz w:val="18"/>
                <w:szCs w:val="18"/>
              </w:rPr>
              <w:t>请在此处简要说明中央巡视、各级审计和财会监督中发现的问题及其所涉及的金额，如没有请填无。</w:t>
            </w:r>
          </w:p>
        </w:tc>
      </w:tr>
    </w:tbl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2" w:line="200" w:lineRule="exact"/>
        <w:ind w:left="4"/>
        <w:textAlignment w:val="baseline"/>
        <w:rPr>
          <w:rFonts w:ascii="宋体" w:hAnsi="宋体" w:eastAsia="宋体" w:cs="宋体"/>
          <w:b w:val="0"/>
          <w:bCs w:val="0"/>
          <w:color w:val="auto"/>
          <w:spacing w:val="0"/>
          <w:sz w:val="18"/>
          <w:szCs w:val="18"/>
        </w:rPr>
      </w:pPr>
      <w:r>
        <w:rPr>
          <w:rFonts w:ascii="宋体" w:hAnsi="宋体" w:eastAsia="宋体" w:cs="宋体"/>
          <w:b w:val="0"/>
          <w:bCs w:val="0"/>
          <w:color w:val="auto"/>
          <w:spacing w:val="0"/>
          <w:sz w:val="18"/>
          <w:szCs w:val="18"/>
        </w:rPr>
        <w:t>注：1.资金使用单位按项目绩效目标填报，主管部门汇总时按区域绩效目标填报。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5" w:line="200" w:lineRule="exact"/>
        <w:ind w:left="364"/>
        <w:textAlignment w:val="baseline"/>
        <w:rPr>
          <w:rFonts w:ascii="宋体" w:hAnsi="宋体" w:eastAsia="宋体" w:cs="宋体"/>
          <w:b w:val="0"/>
          <w:bCs w:val="0"/>
          <w:color w:val="auto"/>
          <w:spacing w:val="0"/>
          <w:sz w:val="18"/>
          <w:szCs w:val="18"/>
        </w:rPr>
      </w:pPr>
      <w:r>
        <w:rPr>
          <w:rFonts w:ascii="宋体" w:hAnsi="宋体" w:eastAsia="宋体" w:cs="宋体"/>
          <w:b w:val="0"/>
          <w:bCs w:val="0"/>
          <w:color w:val="auto"/>
          <w:spacing w:val="0"/>
          <w:sz w:val="18"/>
          <w:szCs w:val="18"/>
        </w:rPr>
        <w:t>2.其他资金包括与中央财政资金、地方财政资金共同投入到同一项目的自有资金、社会资金，以及以前年度的结转结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 w:line="200" w:lineRule="exact"/>
        <w:ind w:left="35"/>
        <w:textAlignment w:val="baseline"/>
        <w:rPr>
          <w:rFonts w:ascii="宋体" w:hAnsi="宋体" w:eastAsia="宋体" w:cs="宋体"/>
          <w:b w:val="0"/>
          <w:bCs w:val="0"/>
          <w:color w:val="auto"/>
          <w:spacing w:val="0"/>
          <w:sz w:val="18"/>
          <w:szCs w:val="18"/>
        </w:rPr>
      </w:pPr>
      <w:r>
        <w:rPr>
          <w:rFonts w:ascii="宋体" w:hAnsi="宋体" w:eastAsia="宋体" w:cs="宋体"/>
          <w:b w:val="0"/>
          <w:bCs w:val="0"/>
          <w:color w:val="auto"/>
          <w:spacing w:val="0"/>
          <w:sz w:val="18"/>
          <w:szCs w:val="18"/>
        </w:rPr>
        <w:t>余资金等。</w: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7" w:line="200" w:lineRule="exact"/>
        <w:ind w:left="374"/>
        <w:textAlignment w:val="baseline"/>
        <w:rPr>
          <w:b w:val="0"/>
          <w:bCs w:val="0"/>
          <w:color w:val="auto"/>
          <w:spacing w:val="0"/>
          <w:sz w:val="30"/>
          <w:szCs w:val="30"/>
        </w:rPr>
        <w:sectPr>
          <w:pgSz w:w="12093" w:h="16979"/>
          <w:pgMar w:top="283" w:right="1134" w:bottom="0" w:left="1134" w:header="0" w:footer="0" w:gutter="0"/>
          <w:paperSrc/>
          <w:cols w:space="0" w:num="1"/>
          <w:rtlGutter w:val="0"/>
          <w:docGrid w:linePitch="0" w:charSpace="0"/>
        </w:sectPr>
      </w:pPr>
      <w:r>
        <w:rPr>
          <w:rFonts w:ascii="宋体" w:hAnsi="宋体" w:eastAsia="宋体" w:cs="宋体"/>
          <w:b w:val="0"/>
          <w:bCs w:val="0"/>
          <w:color w:val="auto"/>
          <w:spacing w:val="0"/>
          <w:sz w:val="18"/>
          <w:szCs w:val="18"/>
        </w:rPr>
        <w:t>3.全年执行数是指按照国库集中支付制度要求所形成的实际支出。</w:t>
      </w:r>
    </w:p>
    <w:p>
      <w:pPr>
        <w:keepNext w:val="0"/>
        <w:keepLines w:val="0"/>
        <w:pageBreakBefore w:val="0"/>
        <w:widowControl w:val="0"/>
        <w:overflowPunct/>
        <w:bidi w:val="0"/>
        <w:rPr>
          <w:rFonts w:hint="eastAsia" w:eastAsia="宋体"/>
          <w:b w:val="0"/>
          <w:bCs w:val="0"/>
          <w:color w:val="auto"/>
          <w:spacing w:val="0"/>
          <w:lang w:eastAsia="zh-CN"/>
        </w:rPr>
      </w:pPr>
    </w:p>
    <w:sectPr>
      <w:footerReference r:id="rId6" w:type="default"/>
      <w:pgSz w:w="12093" w:h="16979"/>
      <w:pgMar w:top="283" w:right="1134" w:bottom="0" w:left="1134" w:header="0" w:footer="0" w:gutter="0"/>
      <w:paperSrc/>
      <w:cols w:space="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Bahnschrift Ligh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0" w:lineRule="auto"/>
      <w:ind w:left="4193"/>
      <w:rPr>
        <w:rFonts w:ascii="宋体" w:hAnsi="宋体" w:eastAsia="宋体" w:cs="宋体"/>
        <w:sz w:val="15"/>
        <w:szCs w:val="15"/>
      </w:rPr>
    </w:pPr>
    <w:r>
      <w:rPr>
        <w:rFonts w:ascii="宋体" w:hAnsi="宋体" w:eastAsia="宋体" w:cs="宋体"/>
        <w:sz w:val="15"/>
        <w:szCs w:val="15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4305EA"/>
    <w:multiLevelType w:val="singleLevel"/>
    <w:tmpl w:val="464305E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99999990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mN2MwZTljMzQ2MGE3YTQ2NDY1NmVjNWU4YmYyMmIifQ=="/>
  </w:docVars>
  <w:rsids>
    <w:rsidRoot w:val="78972534"/>
    <w:rsid w:val="09273A00"/>
    <w:rsid w:val="107C62D9"/>
    <w:rsid w:val="11EE2C3B"/>
    <w:rsid w:val="12123A91"/>
    <w:rsid w:val="15581B10"/>
    <w:rsid w:val="295A02E5"/>
    <w:rsid w:val="29907743"/>
    <w:rsid w:val="29AF1322"/>
    <w:rsid w:val="3EB55097"/>
    <w:rsid w:val="44BF3856"/>
    <w:rsid w:val="45127676"/>
    <w:rsid w:val="4B123BE5"/>
    <w:rsid w:val="4B3F5B2A"/>
    <w:rsid w:val="53510A12"/>
    <w:rsid w:val="53D018E4"/>
    <w:rsid w:val="553E5536"/>
    <w:rsid w:val="5B0245BD"/>
    <w:rsid w:val="5B8D4F11"/>
    <w:rsid w:val="6CD11C34"/>
    <w:rsid w:val="73D856FB"/>
    <w:rsid w:val="78972534"/>
    <w:rsid w:val="7CC7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6"/>
      <w:szCs w:val="36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2024-03-07T02:38:00Z</dcterms:created>
  <dc:creator>Administrator</dc:creator>
  <cp:lastModifiedBy>Administrator</cp:lastModifiedBy>
  <dcterms:modified xsi:type="dcterms:W3CDTF">2024-03-11T02:37:41Z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C40D56D7C84F488F99E03B1A6AD3B46F_11</vt:lpwstr>
  </property>
</Properties>
</file>