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spacing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年度部门整体支出绩效评价基础数据表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年度项目支出绩效自评表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1596" w:leftChars="57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直预算部门整体支出绩效自评报告 （统一参考格式）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left="0" w:leftChars="0" w:firstLine="1600" w:firstLineChars="5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部门整体支出绩效自评工作考核评分表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spacing w:after="120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5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86.54%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2098.09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981.82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2532.14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14.56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14.56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5.04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FF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0.2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 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 xml:space="preserve"> 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1、</w:t>
            </w:r>
            <w:r>
              <w:rPr>
                <w:rFonts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加强支出预算管理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2、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坚决落实过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紧日子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要求，压缩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“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三公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”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经费；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3、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精简各类会议和培训。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　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　　</w:t>
            </w:r>
          </w:p>
        </w:tc>
      </w:tr>
    </w:tbl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>
      <w:pPr>
        <w:widowControl/>
        <w:spacing w:afterLines="0" w:line="400" w:lineRule="exact"/>
        <w:jc w:val="left"/>
        <w:rPr>
          <w:rFonts w:hint="default" w:ascii="Times New Roman" w:hAnsi="Times New Roman" w:eastAsia="仿宋_GB2312" w:cs="Times New Roman"/>
          <w:sz w:val="22"/>
          <w:highlight w:val="none"/>
        </w:rPr>
      </w:pPr>
    </w:p>
    <w:p>
      <w:pPr>
        <w:widowControl/>
        <w:spacing w:after="0" w:afterLines="0" w:line="4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  <w:r>
        <w:rPr>
          <w:rFonts w:hint="default" w:ascii="Times New Roman" w:hAnsi="Times New Roman" w:eastAsia="仿宋_GB2312" w:cs="Times New Roman"/>
          <w:sz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>
      <w:pPr>
        <w:widowControl/>
        <w:spacing w:after="120" w:afterLines="5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年度部门整体支出绩效自评表</w:t>
      </w:r>
    </w:p>
    <w:tbl>
      <w:tblPr>
        <w:tblStyle w:val="5"/>
        <w:tblW w:w="101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51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级预算部门名称</w:t>
            </w:r>
          </w:p>
        </w:tc>
        <w:tc>
          <w:tcPr>
            <w:tcW w:w="906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君山区柳林洲街道办事处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年度预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算申请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2363.17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3872.16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3872.16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按收入性质分：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按支出性质分：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 xml:space="preserve">  其中：  一般公共预算：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3200.54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其中：基本支出：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1340.02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800" w:firstLineChars="4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政府性基金拨款：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439.73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600" w:firstLineChars="3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纳入专户管理的非税收入拨款：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1400" w:firstLineChars="700"/>
              <w:jc w:val="left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231.89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6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动员街道上下撸起袖子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，解放思想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，聚力攻坚，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全力擘画柳林洲街道高质量发展新蓝图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。　　　</w:t>
            </w:r>
          </w:p>
        </w:tc>
        <w:tc>
          <w:tcPr>
            <w:tcW w:w="43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在区委、区政府的正确领导下，紧紧围绕区委提出的“五大行动”，攻坚克难、担当实干，较好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完成了各项工作任务。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1、举办文化旅游节活动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巡河次数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3、巡田次数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4、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安全生产检查次数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项目申报合规率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经费支出合规性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巡河巡田工作及时性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经费支出时效性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1、项目严格按项目管理程序执行，节约成本。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持续优化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2、厉行节约，“三公”经费实行限额管理。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秸秆焚烧频率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降低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持平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部分村民环保意识薄弱，夜间燃烧秸秆。后期将加大夜间巡逻力度。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1、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特色产业稳定发展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稳步发展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2、发展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eastAsia="zh-CN"/>
              </w:rPr>
              <w:t>乡村旅游产业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发展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稳步发展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提升群众生活水平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  <w:lang w:val="en-US" w:eastAsia="zh-CN"/>
              </w:rPr>
              <w:t>2、全街道社会大局稳定有序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稳定向好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1、禁捕退捕工作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优化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持续优化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禁钓工作仍然存在阻力。后期将加大执勤力度。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推进乡村振兴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显著成效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显著成效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群众满意度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≥9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</w:t>
            </w:r>
          </w:p>
        </w:tc>
        <w:tc>
          <w:tcPr>
            <w:tcW w:w="15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</w:tr>
    </w:tbl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填报日期：         联系电话：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业务工作经费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君山区财政局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君山区柳林洲街道办事处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全年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得分</w:t>
            </w:r>
          </w:p>
        </w:tc>
      </w:tr>
      <w:tr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981.82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2532.14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 w:firstLine="40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全面贯彻落实党的二十大和中央、省市区委会议精神，紧扣区委“</w:t>
            </w: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1236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”工作思路，推动街道经济社会又好又快发展。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大力实施了项目会战提速工程、产业振兴提质工程、城乡建管提升工程、民生福祉提标工程、生态环保提优工程、改革创新提效工程，持之以恒抓好党建、招商引资、信访维稳、爱卫巩卫、安全生产等工作。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1、保障20个村居正常运转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" w:eastAsia="zh-CN"/>
              </w:rPr>
              <w:t>、完成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3个以上签约项目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上级部门考核情况良好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经费拨付及时性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控制在预算内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≤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2532.14万元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2532.14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（30分）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推动社区经济发展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促进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有效促进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产业发展带动就业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提高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稳步提高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助力人居环境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改善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显著改善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可持续影响指标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确保社会和谐稳定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保持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  <w:t>效果明显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社区服务对象满意度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98.6%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单位负责人签字：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柳林洲街道办事处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单位名称：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君山区柳林洲街道办事处</w:t>
      </w:r>
    </w:p>
    <w:p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"/>
        </w:rPr>
        <w:t>2025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"/>
        </w:rPr>
        <w:t>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  <w:lang w:val="en"/>
        </w:rPr>
        <w:t>27</w:t>
      </w:r>
      <w:bookmarkStart w:id="37" w:name="_GoBack"/>
      <w:bookmarkEnd w:id="37"/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highlight w:val="none"/>
          <w:lang w:val="e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柳林洲街道办事处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柳林洲街道办事处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黑体" w:cs="Times New Roman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eastAsia="zh-CN"/>
        </w:rPr>
        <w:t>（一）职责职能概述：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街道党工委、办事处主要承担宣传贯彻执行党和国家的路线、方针、政策、法律、法规和上级党委、政府的决定、命令、指示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促进经济发展、增加农民收入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强化公共服务、着力改善民生，加强社会管理、维护农村稳定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推进基层民主、促进农村和谐的重大任务。街道党工委为区委的派出机关，领导本地区经济、政治、文化、社会、生态文明建设等各项工作和基层社会治理；办事处是区政府的派出机关,依法行使政府管理和服务职能。主要职责是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加强党的建设。加强党的全面领导，落实基层党建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工作责任制，全面推进党的政治建设、思想建设、组织建设、作风建设、纪律建设。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经济建设。编制经济发展规划;优化经济发展环境，提供示范引导和政策服务;加强农垦资产管理，激活农垦经济活力，释放农垦生产力。加强农村经济与土地管理和农村经济审计、统计工作;指导经济结构调整和推进经济增长方式转变;因地制宜组织发展区域特色经济，促进农民增收;大力发展非公有制经济，推进农村市场经济体系建设，着力提升经济发展的质量和水平，不断提高人民生活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社会管理。编制社会发展规划；负责区域内的教育体育、科技、文化、卫生健康、民政、公安、司法、人武、自然资源等管理工作；负责做好安全生产、应急救援、生态保护、市场监管、粮食安全、社会救助、扶贫助残、殡葬管理、流动人员管理等工作；推进乡村振兴战略，着力优化农村人居环境;及时上报和处置重大社情、疫情、险情，保护人民群众的生命和财产安全;加强农村规划建设和财政管理工作；建立防灾减灾等区域性、突发性事件的预防和处置工作机制；负责区域内的社区和经济组织的管理，发挥社团、行业组织和社会中介组织的作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提供公共服务。建立健全社会化服务体系；全面推行审批服务“马上办、网上办、就近办、一次办”，不断优化办事创业和营商环境；加强农田水利、乡村道路等农村基础设施建设；大力发展教育、科技、文化、卫生、体育等社会事业；组织引导农村劳动力转移和就业，提供政策、科技、信息、就业培训等服务；加强社会保障服务，做好扶贫、库区移民、最低生活保障、城乡居民养老保险、城乡居民基本医疗保险等工作；依法依规承担上级部门下放的经济社会管理权限和行政执法事项，承接政务服务事项，提供便捷优质服务，确保对承接事项直接受理、独立办理、全权行使、落实到位、服务到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维护社会稳定。加强社会治安综合治理，构建公共安全防控体系；依法保护各类经济组织和公民的合法权益；综合协调平安建设工作，构建民间矛盾纠纷调处体系，做好基层信访调解工作，化解社会矛盾，维护社会秩序；抓好法制宣传和普法教育，增强公民法制意识；加强对违法青少年的帮教转化工作;保护老年人、妇女、儿童和残疾人的合法权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监督执法管理。对辖区内各类行政执法工作进行统筹协调，组织开展群众监督和社会监督。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7、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加强基层组织管理。加强基层领导班子、干部队伍和党员队伍建设；加强和改进对基层党组织的领导，指导和帮助村民委员会、社区居民委员会依法自治，促进村民(社区居民)委员会的组织建设和制度建设；充分发挥工会、共青团、妇联、文联等群众团体的桥梁纽带作用；团结动员各类单位、社会组织、广大群众参与社会治理，为村（居）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发展服务。</w:t>
      </w:r>
    </w:p>
    <w:p>
      <w:pPr>
        <w:pStyle w:val="3"/>
        <w:tabs>
          <w:tab w:val="left" w:pos="173"/>
        </w:tabs>
        <w:spacing w:before="208" w:line="314" w:lineRule="auto"/>
        <w:ind w:right="20" w:firstLine="814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8、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 xml:space="preserve">履行法定职责。根据《湖南省人民政府办公厅关于印发〈湖南省乡镇权力清单和责任清单〉和〈湖南省赋予乡镇 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(街道)经济社会管理权限指导目录〉的通知》(湘政办发 〔2019〕55号),负责落实乡镇(街道)权力清单和责任清单规定的法定职责任务；根据授权，负责承接上级人民政府赋权、委托下放、服务前移等有关事项。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承办区委、区政府及其工作部门交办的其他事项。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4"/>
        <w:numPr>
          <w:ilvl w:val="0"/>
          <w:numId w:val="3"/>
        </w:numP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 xml:space="preserve">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根据编委核定，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内设机构 5个，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直属事业机构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内设机构分别是：党政办公室、党建办公室、经济发展办公室、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民生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事务办公室、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平安法制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和应急管理办公室。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直属事业机构分别是：农业综合服务中心、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生态事务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中心、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社会事务综合服务中心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退役军人服务站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、综合行政执法大队。</w:t>
      </w:r>
    </w:p>
    <w:p>
      <w:pPr>
        <w:pStyle w:val="4"/>
        <w:numPr>
          <w:ilvl w:val="0"/>
          <w:numId w:val="3"/>
        </w:numPr>
        <w:ind w:left="0" w:leftChars="0" w:firstLine="0" w:firstLineChars="0"/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人员概况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根据编委核定，我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共有编制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名，实有在职人员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90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人。其中：行政编制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人；事业编制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65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名，实有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退休人员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</w:rPr>
        <w:t>人。</w:t>
      </w:r>
    </w:p>
    <w:p>
      <w:pPr>
        <w:pStyle w:val="4"/>
        <w:numPr>
          <w:ilvl w:val="0"/>
          <w:numId w:val="0"/>
        </w:numP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b/>
          <w:kern w:val="0"/>
          <w:sz w:val="32"/>
          <w:szCs w:val="32"/>
          <w:highlight w:val="none"/>
          <w:lang w:val="en-US" w:eastAsia="zh-CN" w:bidi="ar-SA"/>
        </w:rPr>
        <w:t>（四）单位整体支出规模、使用方向和主要内容、涉及范围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202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年，全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共计收入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3872.16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万元，其中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一般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公共财政预算拨款收入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3200.54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万元，政府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性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基金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预算财政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拨款收入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439.73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，其他收入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231.89万元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。全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街道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共计支出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3872.16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万元，其中一般公共服务支出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1681.49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公共安全支出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10万元，文化旅游体育与传媒支出10万元，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社会保障和就业支出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218.14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万元，卫生健康支出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70.89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万元，节能环保支出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226.54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万元，城乡社区支出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314.78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万元，农林水支出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692.42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住房保障支出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187.94万元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，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灾害防止及应急管理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36.76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eastAsia="zh-CN"/>
        </w:rPr>
        <w:t>，其他支出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  <w:lang w:val="en-US" w:eastAsia="zh-CN"/>
        </w:rPr>
        <w:t>423.2万元</w:t>
      </w:r>
      <w:r>
        <w:rPr>
          <w:rFonts w:hint="eastAsia" w:ascii="CESI仿宋-GB2312" w:hAnsi="CESI仿宋-GB2312" w:eastAsia="CESI仿宋-GB2312" w:cs="CESI仿宋-GB2312"/>
          <w:color w:val="000000"/>
          <w:sz w:val="32"/>
          <w:szCs w:val="32"/>
          <w:highlight w:val="none"/>
        </w:rPr>
        <w:t>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基本支出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1340.02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万元，其中人员经费支出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1209.77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万元，公用经费支出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130.25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1、人员经费支出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1209.77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（1）工资福利支出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1129.09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万元，其中基本工资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239.67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万元，津贴补贴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85.9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万元，奖金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351.33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万元，伙食补助费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万元，绩效工资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99.9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养老保险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缴费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117.26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，职业年金缴费0.48万元，医保缴费46.69万元，医疗补助缴费7.01万元，其他社保缴费92.9万元，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住房公积金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87.95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其他工资福利支出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（2）对个人和家庭的补助支出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80.68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，其中退休费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80.68万元。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2、公用经费支出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130.25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万元，其中办公经费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43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印刷费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23万元，水费2万元，电费10万元，邮电费0.2万元，差旅费2.56万元，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维修（护）费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eastAsia="zh-CN"/>
        </w:rPr>
        <w:t>租赁费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0万元，培训费0.2万元，工会经费10.44万元，福利费0万元，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其他交通费用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25.85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万元，其他商品和服务支出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</w:rPr>
        <w:t>万元。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2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1、专项资金投入情况分析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本年专项资金共计支出2532.14万元，比上年增加了434.05万元。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2、专项资金实际使用情况分析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项目资金严格按照市财政局的要求实际国库集中支付管理，全程由财政局监控支付。这样一方面确保了资金的安全，另一方面可更好地促进项目的按质量要求落实。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3、专项资金管理情况分析</w:t>
      </w:r>
    </w:p>
    <w:p>
      <w:pPr>
        <w:adjustRightInd w:val="0"/>
        <w:snapToGrid w:val="0"/>
        <w:spacing w:line="600" w:lineRule="exact"/>
        <w:ind w:firstLine="640" w:firstLineChars="200"/>
        <w:jc w:val="both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为进一步规范我街道建设工程项目管理，规范项目资金使用行为，确保工程建设质量和投资成效，街道制定了《柳林洲街道办事处建设工程项目管理办法》，严格按管理办法规定的项目实施流程、项目资金支付程序对每一个项目进行管理。评价小组对项目资金管理情况进行了现场评价，评价表明：资金审批依法依规依程序，资金支付依据合法合规，真正做到了专款专用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政府性基金预算支出情况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2024年政府性基金预算支出439.73万元。其中农村基础设施建设支出16.53万元，其他政府性基金安排的支出408.2万元，用于社会福利的彩票公益金支出15万元。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国有资本经营预算支出情况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2024年本单位没有使用国有资本经营预算安排的支出。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社会保险基金预算支出情况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2024年本单位没有使用社会保险基金预算安排的支出。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320" w:firstLineChars="1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部门整体支出绩效情况</w:t>
      </w:r>
    </w:p>
    <w:p>
      <w:pPr>
        <w:pStyle w:val="4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0"/>
          <w:kern w:val="0"/>
          <w:sz w:val="32"/>
          <w:szCs w:val="32"/>
          <w:highlight w:val="none"/>
          <w:lang w:val="en-US" w:eastAsia="zh-CN" w:bidi="ar-SA"/>
        </w:rPr>
        <w:t>一年来，柳林洲街道在区委、区政府的坚强领导下，全面贯彻落实习近平总书记系列重要讲话精神，紧紧围绕“守护好一江碧水、建设好精致君山”奋斗目标，团结带领全体干部及辖区村（居）民战汛情、保稳定、抓发展，确保了各项事业平稳推进、社会大局和谐稳定。</w:t>
      </w:r>
    </w:p>
    <w:p>
      <w:pPr>
        <w:numPr>
          <w:ilvl w:val="0"/>
          <w:numId w:val="0"/>
        </w:numPr>
        <w:ind w:firstLine="642"/>
        <w:rPr>
          <w:rFonts w:hint="default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OLE_LINK46"/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1、抓思想聚人心。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街道党工委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严格落实意识形态责任制，始终牢牢把握正确的政治方向,全面落实意识形态工作主体责任，并将意识形态工作内容纳入理论学习中心组学习，牢牢把握主动权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今年班子会研究部署意识形态工作3次，</w:t>
      </w:r>
      <w:bookmarkStart w:id="1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开展机关干部谈心谈话60余人次，街道全年未发生重大负面舆情。</w:t>
      </w:r>
      <w:bookmarkEnd w:id="1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2、抓党建助提升。</w:t>
      </w:r>
      <w:bookmarkStart w:id="2" w:name="OLE_LINK21"/>
      <w:bookmarkStart w:id="3" w:name="OLE_LINK14"/>
      <w:bookmarkStart w:id="4" w:name="OLE_LINK42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</w:t>
      </w:r>
      <w:bookmarkEnd w:id="2"/>
      <w:bookmarkStart w:id="5" w:name="OLE_LINK2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深化落实机构改革</w:t>
      </w:r>
      <w:bookmarkEnd w:id="5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。设置5个内设机构、5个事业机构、2个派驻机构，进一步调整完善机构设置和管理体制。</w:t>
      </w:r>
      <w:bookmarkEnd w:id="3"/>
      <w:bookmarkStart w:id="6" w:name="OLE_LINK7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</w:t>
      </w:r>
      <w:bookmarkStart w:id="7" w:name="OLE_LINK6"/>
      <w:bookmarkStart w:id="8" w:name="OLE_LINK5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扎实开展党纪学习教育</w:t>
      </w:r>
      <w:bookmarkStart w:id="9" w:name="OLE_LINK4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。结合主题党日活动，组织基层党组织书记讲纪律党课25次，</w:t>
      </w:r>
      <w:bookmarkStart w:id="10" w:name="OLE_LINK54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党员观看警示教育片800余人次</w:t>
      </w:r>
      <w:bookmarkEnd w:id="1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bookmarkEnd w:id="6"/>
      <w:bookmarkEnd w:id="7"/>
      <w:bookmarkEnd w:id="8"/>
      <w:bookmarkEnd w:id="9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深入开展“基层减负”工作。清理村级挂牌302块，清退微信工作群150个，重点抓好加强村级工作力量、规范村级组织事务等工作。</w:t>
      </w:r>
      <w:bookmarkStart w:id="11" w:name="OLE_LINK19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四是</w:t>
      </w:r>
      <w:bookmarkStart w:id="12" w:name="OLE_LINK47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强化基层阵地建设，高标准启动和完成了二洲子、景明路村级综合服务平台建设。</w:t>
      </w:r>
      <w:bookmarkEnd w:id="12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五是</w:t>
      </w:r>
      <w:bookmarkEnd w:id="1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强化基层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队伍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建设，推选村（社区）党组织书记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选优配强两委成员2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名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壮大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村集体经济，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采取“党支部+合作社+农户”模式，大力发展草莓、芥菜等大棚果蔬产业，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今年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实现集体经济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过百万的村（社区）有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个（永城、瓦湾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、长沟子、濠河、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望城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、松湖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bookmarkEnd w:id="0"/>
    <w:bookmarkEnd w:id="4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3、抓产业促发展。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大力推行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精细蔬菜种植，面积达8000亩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探索村企合作，做大彭激光葡萄、世丰火龙果等瓜果种植品牌；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推动设施农业、渔业提质升级，新建高标准大棚91亩，完成二洲子冷库建设，发展名优特种水产养殖水面3000余亩。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推动乡村旅游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发展。通过“休闲农业+乡村旅游”方式，引导水果种植与农家乐、渔家乐相结合，截至目前，街道现有农家乐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家，特色民宿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4、抓保障惠民生。</w:t>
      </w:r>
      <w:bookmarkStart w:id="13" w:name="OLE_LINK26"/>
      <w:bookmarkStart w:id="14" w:name="OLE_LINK27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加大对危旧房屋的排查和整治力度，</w:t>
      </w:r>
      <w:bookmarkStart w:id="15" w:name="OLE_LINK45"/>
      <w:bookmarkStart w:id="16" w:name="OLE_LINK24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民生建房放线66户，四原恢复放线63户</w:t>
      </w:r>
      <w:bookmarkEnd w:id="13"/>
      <w:bookmarkEnd w:id="14"/>
      <w:bookmarkEnd w:id="15"/>
      <w:bookmarkEnd w:id="16"/>
      <w:bookmarkStart w:id="17" w:name="OLE_LINK53"/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目前</w:t>
      </w:r>
      <w:r>
        <w:rPr>
          <w:rFonts w:hint="eastAsia" w:ascii="仿宋_GB2312" w:hAnsi="仿宋_GB2312" w:cs="仿宋_GB2312"/>
          <w:color w:val="auto"/>
          <w:spacing w:val="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2个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老旧小区改造项目已全部完成</w:t>
      </w:r>
      <w:bookmarkEnd w:id="17"/>
      <w:bookmarkStart w:id="18" w:name="OLE_LINK48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，五一路、五二路管道天然气安装共199户</w:t>
      </w:r>
      <w:bookmarkEnd w:id="18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；自来水表入户安装已完成7500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多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户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完成农村改厕320户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全面整治环境，落实“门前三包”、垃圾分类等制度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整治沟渠道路33公里，汛期清理渠道垃圾80余吨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textAlignment w:val="baseline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bookmarkStart w:id="19" w:name="OLE_LINK9"/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5、抓项目强基础。</w:t>
      </w:r>
      <w:bookmarkStart w:id="20" w:name="OLE_LINK8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加大招商引资力度，签约项目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个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，投资总额1.9亿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完成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乡村振兴项目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6批次14个项目；先后启动建设挂口南片区积水点改造项目、完成岳华村五星加油站沿线黑臭水体整治以及岳华村、挂口村、景明路社区、林阁老社区等单位的美丽家园建设项目；完成黄岸路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提质改造项目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濠河生态农场观光项目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前期手续办理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工作；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全力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协调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服务区级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重点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完成城乡供水一体化、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江岳里、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鸟语林、柳毅路二期、滨江大道西延等项目征地工作。</w:t>
      </w:r>
      <w:bookmarkEnd w:id="19"/>
      <w:bookmarkEnd w:id="20"/>
      <w:bookmarkStart w:id="21" w:name="OLE_LINK15"/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6、</w:t>
      </w:r>
      <w:bookmarkEnd w:id="21"/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抓稳定守底线。</w:t>
      </w:r>
      <w:bookmarkStart w:id="22" w:name="OLE_LINK29"/>
      <w:bookmarkStart w:id="23" w:name="OLE_LINK30"/>
      <w:bookmarkStart w:id="24" w:name="OLE_LINK34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</w:t>
      </w:r>
      <w:bookmarkStart w:id="25" w:name="OLE_LINK28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守牢安全底线。</w:t>
      </w:r>
      <w:bookmarkEnd w:id="22"/>
      <w:bookmarkEnd w:id="25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围绕道路及水上交通、建筑施工、燃气、消防安全、烟花爆竹、防溺水等重点领域开展隐患排查，及时整改各类隐患，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开展敲门行动，发放宣传材料5000份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辖区未发生安全生产责任事故</w:t>
      </w:r>
      <w:bookmarkEnd w:id="23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bookmarkEnd w:id="24"/>
      <w:bookmarkStart w:id="26" w:name="OLE_LINK43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筑牢信访稳定防线。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接待群众来访339批次934人次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，其中群访35批次409人次，实现街道进京人员“零非访”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处理网上投诉42件，做好多个特护期的安保工作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bookmarkEnd w:id="26"/>
      <w:bookmarkStart w:id="27" w:name="OLE_LINK40"/>
      <w:bookmarkStart w:id="28" w:name="OLE_LINK38"/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三是</w:t>
      </w:r>
      <w:bookmarkEnd w:id="27"/>
      <w:bookmarkStart w:id="29" w:name="OLE_LINK32"/>
      <w:bookmarkStart w:id="30" w:name="OLE_LINK33"/>
      <w:bookmarkStart w:id="31" w:name="OLE_LINK37"/>
      <w:bookmarkStart w:id="32" w:name="OLE_LINK4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加大秸秆禁烧、禁捕退捕巡查力度，查处扑灭火点400余处，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收缴鱼杆近300根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劝退垂钓人员5000余人</w:t>
      </w:r>
      <w:bookmarkEnd w:id="28"/>
      <w:bookmarkEnd w:id="29"/>
      <w:bookmarkEnd w:id="3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bookmarkEnd w:id="31"/>
    </w:p>
    <w:bookmarkEnd w:id="32"/>
    <w:p>
      <w:pPr>
        <w:numPr>
          <w:ilvl w:val="0"/>
          <w:numId w:val="0"/>
        </w:numPr>
        <w:ind w:firstLine="642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7、抓落实见成效。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有序化解村级债务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7010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万元，化债率达50%；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扎实推进经营田规范管理工作，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目前已收取1096.34万元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加大水利基础项目建设，全力搞好协调服务；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四是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全面落实秋冬补种抢种工作，最大限度降低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灾害损失；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五是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终止与岳纸林地承包关系，全面收回岳纸林地经营承包权。</w:t>
      </w:r>
      <w:r>
        <w:rPr>
          <w:rFonts w:hint="eastAsia" w:ascii="仿宋_GB2312" w:hAnsi="仿宋_GB2312" w:cs="仿宋_GB2312"/>
          <w:b/>
          <w:bCs w:val="0"/>
          <w:color w:val="auto"/>
          <w:sz w:val="32"/>
          <w:szCs w:val="32"/>
          <w:lang w:val="en-US" w:eastAsia="zh-CN"/>
        </w:rPr>
        <w:t>六是</w:t>
      </w:r>
      <w:r>
        <w:rPr>
          <w:rFonts w:hint="eastAsia" w:ascii="仿宋_GB2312" w:hAnsi="仿宋_GB2312" w:cs="仿宋_GB2312"/>
          <w:b w:val="0"/>
          <w:bCs/>
          <w:color w:val="auto"/>
          <w:sz w:val="32"/>
          <w:szCs w:val="32"/>
          <w:lang w:val="en-US" w:eastAsia="zh-CN"/>
        </w:rPr>
        <w:t>持续推进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医保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缴费工作，截止12月底，我街道目前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参保人数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52473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人，全参保率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93.29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%。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2" w:firstLineChars="200"/>
        <w:rPr>
          <w:rFonts w:hint="default"/>
        </w:rPr>
      </w:pPr>
      <w:bookmarkStart w:id="33" w:name="OLE_LINK10"/>
      <w:bookmarkStart w:id="34" w:name="OLE_LINK13"/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8、</w:t>
      </w:r>
      <w:bookmarkEnd w:id="33"/>
      <w:r>
        <w:rPr>
          <w:rFonts w:hint="eastAsia" w:ascii="楷体_GB2312" w:hAnsi="楷体_GB2312" w:eastAsia="楷体_GB2312" w:cs="楷体_GB2312"/>
          <w:b/>
          <w:bCs w:val="0"/>
          <w:color w:val="auto"/>
          <w:kern w:val="2"/>
          <w:sz w:val="32"/>
          <w:szCs w:val="32"/>
          <w:lang w:val="en-US" w:eastAsia="zh-CN" w:bidi="ar-SA"/>
        </w:rPr>
        <w:t>抓作风优队伍。</w:t>
      </w:r>
      <w:bookmarkStart w:id="35" w:name="OLE_LINK12"/>
      <w:bookmarkStart w:id="36" w:name="OLE_LINK17"/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今年开展作风督查20次，深入开展谈心谈话60余人次、约谈提醒12人次。大力开展群众身边不正之风和腐败问题集中整治，建立问题清单29个，任务清单12个，目前已全部整改到位</w:t>
      </w:r>
      <w:r>
        <w:rPr>
          <w:rFonts w:hint="eastAsia" w:ascii="仿宋_GB2312" w:hAnsi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依法依规查办案件，</w:t>
      </w:r>
      <w:r>
        <w:rPr>
          <w:rFonts w:hint="eastAsia" w:ascii="仿宋_GB2312" w:hAnsi="仿宋_GB2312" w:eastAsia="仿宋_GB2312" w:cs="仿宋_GB2312"/>
          <w:color w:val="auto"/>
          <w:spacing w:val="0"/>
          <w:position w:val="0"/>
          <w:sz w:val="32"/>
          <w:szCs w:val="32"/>
          <w:highlight w:val="none"/>
          <w:shd w:val="clear" w:color="auto" w:fill="auto"/>
          <w:lang w:val="en-US" w:eastAsia="zh-CN"/>
        </w:rPr>
        <w:t>关于群腐的问题线索，共党纪政务立案33件64人，办结33件64人，给予党纪政务处分64人，给予组织处理8人。</w:t>
      </w:r>
      <w:bookmarkEnd w:id="34"/>
      <w:bookmarkEnd w:id="35"/>
      <w:bookmarkEnd w:id="36"/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FF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七、存在的问题及原因分析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固定资产管理方面存在一些问题。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每个固定资产应该清晰地标识其名称、规格、型号、数量、存放位置等信息，以便于识别和管理。由于本单位固定资产的数量较多，分布较为分散，因而难以持续精准掌握其使用与存放情况。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八、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US" w:eastAsia="zh-CN" w:bidi="ar-SA"/>
        </w:rPr>
        <w:t>下一步改进措施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成立资产管理小组，定期安排人员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到固定资产放置地点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实地清点登记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，及时进行固定资产卡片的更新。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>
      <w:pPr>
        <w:pStyle w:val="2"/>
        <w:numPr>
          <w:ilvl w:val="0"/>
          <w:numId w:val="0"/>
        </w:numPr>
        <w:rPr>
          <w:rFonts w:hint="eastAsia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eastAsia="宋体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-SA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>
      <w:pPr>
        <w:pStyle w:val="2"/>
        <w:numPr>
          <w:ilvl w:val="0"/>
          <w:numId w:val="0"/>
        </w:numPr>
        <w:ind w:firstLine="684" w:firstLineChars="200"/>
        <w:rPr>
          <w:rFonts w:hint="default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spacing w:val="11"/>
          <w:kern w:val="0"/>
          <w:sz w:val="32"/>
          <w:szCs w:val="32"/>
          <w:highlight w:val="none"/>
          <w:lang w:val="en-US" w:eastAsia="zh-CN" w:bidi="ar-SA"/>
        </w:rPr>
        <w:t>对部门整体支出绩效自评在规定时间内公开至本单位门户网站，确保公开数据真实、完整、准确。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5</w:t>
      </w:r>
    </w:p>
    <w:p>
      <w:pPr>
        <w:spacing w:before="120" w:beforeLines="50" w:after="120" w:afterLines="50"/>
        <w:jc w:val="center"/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部门整体支出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szCs w:val="36"/>
          <w:highlight w:val="none"/>
        </w:rPr>
        <w:t>绩效自评工作考核评分表</w:t>
      </w:r>
    </w:p>
    <w:tbl>
      <w:tblPr>
        <w:tblStyle w:val="5"/>
        <w:tblW w:w="994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74"/>
        <w:gridCol w:w="5000"/>
        <w:gridCol w:w="30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一级指标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二级指标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评分标准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1"/>
                <w:szCs w:val="21"/>
                <w:highlight w:val="none"/>
              </w:rPr>
              <w:t>所需佐证材料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布置工作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自评通知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（8分）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印发绩效自评通知的得2分，否则不得分。</w:t>
            </w:r>
          </w:p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按照本规程规定，绩效自评通知包括自评范围、自评主要依据、自评主要内容、自评程序和步骤、有关要求等内容，并附有本通知要求的附件的，得6分；否则缺1项扣1分，最多扣6分。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绩效自评通知盖章的电子版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工作小组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成立绩效自评工作小组的得2分，否则不得分。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本部门、本单位预算绩效管理领导小组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绩效评价工作小组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spacing w:val="0"/>
                <w:sz w:val="20"/>
                <w:szCs w:val="20"/>
                <w:highlight w:val="none"/>
              </w:rPr>
              <w:t>文件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盖章的电子版</w:t>
            </w:r>
          </w:p>
        </w:tc>
      </w:tr>
      <w:tr>
        <w:trPr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实施评价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单位自查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5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预算部门本级和所属单位都要开展绩效自查，转移支付项目单位都要开展绩效自查，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县、区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级主管部门都要汇总本区域转移支付情况；以上各项每发现一个单位没有做相应工作的，扣1分，最多扣10分。</w:t>
            </w:r>
          </w:p>
        </w:tc>
        <w:tc>
          <w:tcPr>
            <w:tcW w:w="3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转移支付项目单位名称和资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金情况清单</w:t>
            </w:r>
          </w:p>
          <w:p>
            <w:pPr>
              <w:numPr>
                <w:ilvl w:val="0"/>
                <w:numId w:val="6"/>
              </w:num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有转移支付资金的各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县区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主管部门汇总情况的盖章PDF版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提交报告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80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按时向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市财政局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报送报告的得10分；每推迟一个工作日报送报告的扣1分，最多扣10分。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自评报告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70分</w:t>
            </w: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完整性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绩效自评报告正文部分内容齐全的，得8分；否则每少一个部分扣2分，最多扣8分。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绩效自评报告附件部分内容齐全的，得7分；否则每少一个部分扣2分，最多扣7分。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绩效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自评表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1、部门整体支出和项目支出绩效指标反映产出、效益、服务对象满意度方面的指标和预算执行率的权重符合《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eastAsia="zh-CN"/>
              </w:rPr>
              <w:t>岳阳市市级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预算部门绩效自评操作规程》要求的，得5分，否则按比例扣除相应的分数。</w:t>
            </w:r>
          </w:p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部门整体支出和项目支出绩效指标全部细化到三级指标的，得5分；部分细化的，酌情扣分；没有细化的，不得分。</w:t>
            </w:r>
          </w:p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0"/>
                <w:szCs w:val="20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部门整体支出和项目支出三级绩效指标内涵明确、具体、可衡量的得5分；突出核心指标，精简实用的得3分；指标与部门整体支出和项目支出密切相关，全面反映产出和效益的得2分；否则，每项酌情扣分，最多扣10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反映问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题情况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（20分）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从预算和预算绩效管理，部门履职效能，资金分配、使用和管理，资产和财务管理，政府采购等方面归纳问题、分析原因全面的，得20分；反映问题、分析原因较全面的，得16—18分；反映问题、分析原因不全面的，得13—15分；问题未归纳且过于简单的，得10—12分；只提出资金不足问题的不得分；其他情况酌情扣分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建议情况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（15分）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建议与问题对应且全面的得15分，建议比较全面的得12—14分，建议不全面的得9—11分，建议过于简单的得6—8分，只提出加大资金投入建议的不得分；其他情况酌情扣分。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合计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100分</w:t>
            </w:r>
          </w:p>
        </w:tc>
        <w:tc>
          <w:tcPr>
            <w:tcW w:w="8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26" w:lineRule="auto"/>
      <w:ind w:left="4"/>
      <w:rPr>
        <w:rFonts w:ascii="宋体" w:hAnsi="宋体" w:eastAsia="宋体" w:cs="宋体"/>
        <w:sz w:val="13"/>
        <w:szCs w:val="13"/>
      </w:rPr>
    </w:pPr>
    <w:r>
      <w:rPr>
        <w:rFonts w:ascii="宋体" w:hAnsi="宋体" w:eastAsia="宋体" w:cs="宋体"/>
        <w:spacing w:val="-2"/>
        <w:sz w:val="13"/>
        <w:szCs w:val="13"/>
      </w:rPr>
      <w:t>—4—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FE0E33"/>
    <w:multiLevelType w:val="singleLevel"/>
    <w:tmpl w:val="CFFE0E3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BFEE080"/>
    <w:multiLevelType w:val="singleLevel"/>
    <w:tmpl w:val="FBFEE08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DDF8822"/>
    <w:multiLevelType w:val="singleLevel"/>
    <w:tmpl w:val="5DDF8822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17FEFE8"/>
    <w:multiLevelType w:val="singleLevel"/>
    <w:tmpl w:val="617FEFE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BBD97A7"/>
    <w:multiLevelType w:val="singleLevel"/>
    <w:tmpl w:val="7BBD97A7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7D746408"/>
    <w:multiLevelType w:val="singleLevel"/>
    <w:tmpl w:val="7D7464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886344"/>
    <w:rsid w:val="2BFF3BE6"/>
    <w:rsid w:val="2E7437C8"/>
    <w:rsid w:val="31F73BB5"/>
    <w:rsid w:val="3EBFF81B"/>
    <w:rsid w:val="47FFB392"/>
    <w:rsid w:val="4D679FFB"/>
    <w:rsid w:val="4E7E8272"/>
    <w:rsid w:val="536F2E1A"/>
    <w:rsid w:val="59886344"/>
    <w:rsid w:val="5AFA9BAB"/>
    <w:rsid w:val="5BFC7889"/>
    <w:rsid w:val="5CBF4841"/>
    <w:rsid w:val="5DF35072"/>
    <w:rsid w:val="5EFF30EB"/>
    <w:rsid w:val="5F2F7982"/>
    <w:rsid w:val="5F75EC1F"/>
    <w:rsid w:val="5F7F16A7"/>
    <w:rsid w:val="5FFF9E2F"/>
    <w:rsid w:val="5FFFDE42"/>
    <w:rsid w:val="5FFFE499"/>
    <w:rsid w:val="64BBF202"/>
    <w:rsid w:val="6DFF37EF"/>
    <w:rsid w:val="6EFFDAA4"/>
    <w:rsid w:val="6F3B73F1"/>
    <w:rsid w:val="6FFD91F7"/>
    <w:rsid w:val="6FFDD1B5"/>
    <w:rsid w:val="713B436F"/>
    <w:rsid w:val="73BE18E6"/>
    <w:rsid w:val="76CF79A9"/>
    <w:rsid w:val="76FF5A81"/>
    <w:rsid w:val="77AF4710"/>
    <w:rsid w:val="77C665A2"/>
    <w:rsid w:val="79FF41FB"/>
    <w:rsid w:val="7B1EE27C"/>
    <w:rsid w:val="7BB33C6D"/>
    <w:rsid w:val="7BFFA778"/>
    <w:rsid w:val="7D7E0876"/>
    <w:rsid w:val="7DDF7BD2"/>
    <w:rsid w:val="7DFFEC6D"/>
    <w:rsid w:val="7E67CEB4"/>
    <w:rsid w:val="7E6F8109"/>
    <w:rsid w:val="7E7C1603"/>
    <w:rsid w:val="7EFE7771"/>
    <w:rsid w:val="7F1FE2BF"/>
    <w:rsid w:val="7F663AA9"/>
    <w:rsid w:val="7F7F479D"/>
    <w:rsid w:val="7F9F405B"/>
    <w:rsid w:val="7FB78983"/>
    <w:rsid w:val="7FBFA693"/>
    <w:rsid w:val="7FCF7BF6"/>
    <w:rsid w:val="7FDF8D8A"/>
    <w:rsid w:val="7FEBAF44"/>
    <w:rsid w:val="7FF74CBB"/>
    <w:rsid w:val="7FFF537E"/>
    <w:rsid w:val="89EF9845"/>
    <w:rsid w:val="AACE7DF3"/>
    <w:rsid w:val="ADBF427E"/>
    <w:rsid w:val="B3F72919"/>
    <w:rsid w:val="B5DE4DED"/>
    <w:rsid w:val="B76D1722"/>
    <w:rsid w:val="B7A92F79"/>
    <w:rsid w:val="B7FB5C2A"/>
    <w:rsid w:val="BF57E41C"/>
    <w:rsid w:val="CB7FB294"/>
    <w:rsid w:val="CBAD13C3"/>
    <w:rsid w:val="CF6EC41E"/>
    <w:rsid w:val="D3CE0B84"/>
    <w:rsid w:val="D3DD786F"/>
    <w:rsid w:val="DB192E08"/>
    <w:rsid w:val="DE36D29D"/>
    <w:rsid w:val="DEFE4789"/>
    <w:rsid w:val="DFBD72C1"/>
    <w:rsid w:val="DFDDF082"/>
    <w:rsid w:val="DFEF884A"/>
    <w:rsid w:val="DFF3B9DB"/>
    <w:rsid w:val="DFFDB6FA"/>
    <w:rsid w:val="ED6FF2B4"/>
    <w:rsid w:val="EE7A6018"/>
    <w:rsid w:val="EECD38F9"/>
    <w:rsid w:val="EFD4528E"/>
    <w:rsid w:val="EFD7943A"/>
    <w:rsid w:val="EFDB22F1"/>
    <w:rsid w:val="EFEDF6D1"/>
    <w:rsid w:val="F36BADAE"/>
    <w:rsid w:val="F3FFBF39"/>
    <w:rsid w:val="F57FA8C2"/>
    <w:rsid w:val="F65FE406"/>
    <w:rsid w:val="F75E966E"/>
    <w:rsid w:val="F78F980B"/>
    <w:rsid w:val="F7C7E549"/>
    <w:rsid w:val="F7FF2403"/>
    <w:rsid w:val="F97F68A4"/>
    <w:rsid w:val="FA37FC3E"/>
    <w:rsid w:val="FA9776F1"/>
    <w:rsid w:val="FAEFAF82"/>
    <w:rsid w:val="FB7F81D8"/>
    <w:rsid w:val="FBBE87D7"/>
    <w:rsid w:val="FBEA79C5"/>
    <w:rsid w:val="FDAD11AB"/>
    <w:rsid w:val="FDEF23B6"/>
    <w:rsid w:val="FEFF428D"/>
    <w:rsid w:val="FF157562"/>
    <w:rsid w:val="FF2F6985"/>
    <w:rsid w:val="FF633520"/>
    <w:rsid w:val="FF7B0206"/>
    <w:rsid w:val="FFBFB9D1"/>
    <w:rsid w:val="FFFFC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color w:val="000000"/>
      <w:szCs w:val="20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paragraph" w:styleId="10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1">
    <w:name w:val="_Style 1"/>
    <w:basedOn w:val="1"/>
    <w:qFormat/>
    <w:uiPriority w:val="0"/>
    <w:pPr>
      <w:spacing w:line="481" w:lineRule="atLeast"/>
      <w:ind w:firstLine="623"/>
      <w:textAlignment w:val="baseline"/>
    </w:pPr>
    <w:rPr>
      <w:rFonts w:ascii="Times New Roman" w:hAnsi="Times New Roman" w:eastAsia="仿宋_GB2312" w:cs="Times New Roman"/>
      <w:color w:val="000000"/>
      <w:sz w:val="31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2024-03-20T08:36:00Z</dcterms:created>
  <dc:creator>Administrator</dc:creator>
  <cp:lastModifiedBy>admin</cp:lastModifiedBy>
  <dcterms:modified xsi:type="dcterms:W3CDTF">2025-04-27T14:54:05Z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6182D3A10D564617983F46DEE354AEAF</vt:lpwstr>
  </property>
</Properties>
</file>