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D9" w:rsidRPr="00371C55" w:rsidRDefault="00CE5509" w:rsidP="00371C5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CE5509" w:rsidRDefault="00CE5509" w:rsidP="00CE550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D41A2">
        <w:rPr>
          <w:rFonts w:ascii="方正小标宋简体" w:eastAsia="方正小标宋简体" w:hAnsi="方正小标宋简体" w:cs="方正小标宋简体"/>
          <w:sz w:val="44"/>
          <w:szCs w:val="4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7" ShapeID="_x0000_i1025" DrawAspect="Content" ObjectID="_1808634708" r:id="rId8"/>
        </w:object>
      </w:r>
    </w:p>
    <w:p w:rsidR="00C14CD9" w:rsidRDefault="00CE550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2024年度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岳阳市君山区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良心堡镇人民政府整体支出绩效自评报告</w:t>
      </w:r>
    </w:p>
    <w:p w:rsidR="00C14CD9" w:rsidRDefault="00C14CD9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14CD9" w:rsidRDefault="00CE5509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部门基本情况</w:t>
      </w:r>
    </w:p>
    <w:p w:rsidR="00C14CD9" w:rsidRDefault="00CE5509">
      <w:pPr>
        <w:spacing w:line="640" w:lineRule="exac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</w:t>
      </w:r>
      <w:r>
        <w:rPr>
          <w:rFonts w:ascii="Times New Roman" w:eastAsia="楷体_GB2312" w:hAnsi="Times New Roman" w:hint="eastAsia"/>
          <w:b/>
          <w:sz w:val="32"/>
          <w:szCs w:val="32"/>
        </w:rPr>
        <w:t>（一）单位基本情况</w:t>
      </w:r>
    </w:p>
    <w:p w:rsidR="00C14CD9" w:rsidRDefault="00CE5509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岳阳市君山区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良心堡镇人民政府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（以下简称我镇）于2000年10月按照市委市政府撤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场并区建镇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的要求成立的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，其职能职责为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、在镇党委的统一领导下，行使区人民政府赋予的权利，负责辖区的行政管理工作。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、宣传党的路线、方针、政策和国家的法律、法规，开展多种形式的社会主义精神文明建设活动。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、依法参与城市建设和管理，依法依规做好拆迁工作。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、加强社会治安综合治理，维护社会安定团结。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、积极发展社区服务业，发展多元化街道经济，不断壮大街道经济实体。</w:t>
      </w:r>
    </w:p>
    <w:p w:rsidR="00C14CD9" w:rsidRDefault="00CE5509">
      <w:pPr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、落实人口计划指标，加强流动人口的计生管理工作，搞好计划生育管理工作。</w:t>
      </w:r>
    </w:p>
    <w:p w:rsidR="00C14CD9" w:rsidRDefault="00CE5509">
      <w:pPr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、做好社区教育、文化、体育活动的组织、协调工作。　</w:t>
      </w:r>
    </w:p>
    <w:p w:rsidR="00C14CD9" w:rsidRDefault="00CE5509">
      <w:pPr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、做好拥军家属和社会救济等基层社会保障工作，维护老人、妇女、儿童和残疾人的合法权利。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、协助做好侨台事务、离退休人员管理工作。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、指导社区居委会和村级组织工作，加强扶贫工作力度，扶持民办经济实体，帮助社区及村级组织解决实际困难。</w:t>
      </w:r>
    </w:p>
    <w:p w:rsidR="00C14CD9" w:rsidRDefault="00CE5509">
      <w:pPr>
        <w:widowControl/>
        <w:spacing w:line="64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、完成上级交办的其他工作。</w:t>
      </w:r>
    </w:p>
    <w:p w:rsidR="00C14CD9" w:rsidRDefault="00CE5509">
      <w:pPr>
        <w:pStyle w:val="a6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（二）机构设置与人员情况</w:t>
      </w:r>
    </w:p>
    <w:p w:rsidR="00C14CD9" w:rsidRDefault="00CE5509">
      <w:pPr>
        <w:spacing w:line="540" w:lineRule="exact"/>
        <w:ind w:firstLineChars="200" w:firstLine="640"/>
        <w:rPr>
          <w:rFonts w:ascii="楷体_GB2312" w:eastAsia="楷体_GB2312" w:cs="仿宋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我镇设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个内设股室，分别为：</w:t>
      </w:r>
      <w:r>
        <w:rPr>
          <w:rFonts w:ascii="楷体_GB2312" w:eastAsia="楷体_GB2312" w:cs="仿宋" w:hint="eastAsia"/>
          <w:b/>
          <w:bCs/>
          <w:sz w:val="32"/>
          <w:szCs w:val="32"/>
        </w:rPr>
        <w:t>党政办公室（加挂行政审批办公室牌子）、党建办公室、经济发展办公室与自然资源和生态环境办公室合署办公（加挂乡村振兴办公室牌子）、社会事务办公室（加挂卫生健康办公室牌子）、社会治安和应急管理办公室。</w:t>
      </w:r>
    </w:p>
    <w:p w:rsidR="00C14CD9" w:rsidRDefault="00CE5509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我镇所属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个事业站所分别是：</w:t>
      </w:r>
      <w:r>
        <w:rPr>
          <w:rFonts w:ascii="楷体_GB2312" w:eastAsia="楷体_GB2312" w:cs="仿宋" w:hint="eastAsia"/>
          <w:b/>
          <w:bCs/>
          <w:sz w:val="32"/>
          <w:szCs w:val="32"/>
        </w:rPr>
        <w:t>政务服务中心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>
        <w:rPr>
          <w:rFonts w:ascii="楷体_GB2312" w:eastAsia="楷体_GB2312" w:cs="仿宋" w:hint="eastAsia"/>
          <w:b/>
          <w:bCs/>
          <w:sz w:val="32"/>
          <w:szCs w:val="32"/>
        </w:rPr>
        <w:t>农业综合服务中心（加挂农村经营服务站牌子）、社会事业综合服务中心、退役军人服务站、环境卫生服务中心、综合行政执法大队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C14CD9" w:rsidRDefault="00CE5509">
      <w:pPr>
        <w:pStyle w:val="a6"/>
        <w:widowControl/>
        <w:numPr>
          <w:ilvl w:val="0"/>
          <w:numId w:val="2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单位绩效目标</w:t>
      </w:r>
    </w:p>
    <w:p w:rsidR="00C14CD9" w:rsidRDefault="00CE5509">
      <w:pPr>
        <w:pStyle w:val="a6"/>
        <w:widowControl/>
        <w:spacing w:line="640" w:lineRule="exact"/>
        <w:ind w:firstLineChars="0" w:firstLine="642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整体支出绩效目标：强化财政资金使用情况的预算约束和监管，最大限度地降低行政成本，提高财政资金的使用效益。重点抓好农业产业发展、人居环境改善、守护好一江碧水、打好蓝天保卫战等工作，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实现壮大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集体经济、巩固脱贫成效、保障民生福祉，确保社会稳定的目标。</w:t>
      </w:r>
    </w:p>
    <w:p w:rsidR="00C14CD9" w:rsidRDefault="00CE5509">
      <w:pPr>
        <w:pStyle w:val="a6"/>
        <w:widowControl/>
        <w:spacing w:line="640" w:lineRule="exact"/>
        <w:ind w:firstLineChars="0" w:firstLine="640"/>
        <w:rPr>
          <w:rFonts w:ascii="仿宋_GB2312" w:eastAsia="仿宋_GB2312" w:hAnsi="仿宋_GB2312" w:cs="仿宋_GB2312"/>
          <w:kern w:val="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项目支出绩效目标：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目标1：加强村、社区建设、提高工作人员主动性、积极性和创造性，打造人民满意的生活环境。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目标2：保证村级运转经费及村干部待遇，加强村级建设，提供工作人员主动性，积极性和创造性。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目标3：确保社区运转经费及社区干部待遇，加强社区建设，提高工作人员主动性、积极性和创造性。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目标4：落实国家关于农村、农业经济和文化工作，落实省、市、区的乡镇工作计划，完成年度预算，搞好全镇各项主要工作。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预算资金3018.6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其中：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1181.00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项目支出1837.6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。全年实际支出2770.06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其中：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932.</w:t>
      </w:r>
      <w:r w:rsidR="003D6F98">
        <w:rPr>
          <w:rFonts w:ascii="仿宋_GB2312" w:eastAsia="仿宋_GB2312" w:hAnsi="仿宋_GB2312" w:cs="仿宋_GB2312" w:hint="eastAsia"/>
          <w:kern w:val="2"/>
          <w:sz w:val="32"/>
          <w:szCs w:val="32"/>
        </w:rPr>
        <w:t>46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项目支出1837.6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。预算执行率91.77%。</w:t>
      </w:r>
    </w:p>
    <w:p w:rsidR="00C14CD9" w:rsidRDefault="00CE5509">
      <w:pPr>
        <w:pStyle w:val="a6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我镇2024年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全年基本支出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932.</w:t>
      </w:r>
      <w:r w:rsidR="003D6F98">
        <w:rPr>
          <w:rFonts w:ascii="仿宋_GB2312" w:eastAsia="仿宋_GB2312" w:hAnsi="仿宋_GB2312" w:cs="仿宋_GB2312" w:hint="eastAsia"/>
          <w:kern w:val="2"/>
          <w:sz w:val="32"/>
          <w:szCs w:val="32"/>
        </w:rPr>
        <w:t>46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万元，其中人员经费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8</w:t>
      </w:r>
      <w:r w:rsidR="003D6F98">
        <w:rPr>
          <w:rFonts w:ascii="仿宋_GB2312" w:eastAsia="仿宋_GB2312" w:hAnsi="仿宋_GB2312" w:cs="仿宋_GB2312" w:hint="eastAsia"/>
          <w:kern w:val="2"/>
          <w:sz w:val="32"/>
          <w:szCs w:val="32"/>
        </w:rPr>
        <w:t>54.75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万元，公用经费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77.</w:t>
      </w:r>
      <w:r w:rsidR="003D6F98">
        <w:rPr>
          <w:rFonts w:ascii="仿宋_GB2312" w:eastAsia="仿宋_GB2312" w:hAnsi="仿宋_GB2312" w:cs="仿宋_GB2312" w:hint="eastAsia"/>
          <w:kern w:val="2"/>
          <w:sz w:val="32"/>
          <w:szCs w:val="32"/>
        </w:rPr>
        <w:t>71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万元。</w:t>
      </w:r>
    </w:p>
    <w:p w:rsidR="00C14CD9" w:rsidRDefault="00CE5509">
      <w:pPr>
        <w:pStyle w:val="a6"/>
        <w:widowControl/>
        <w:spacing w:line="640" w:lineRule="exact"/>
        <w:ind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基本支出主要是指为保障单位机构正常运转、完成日常工作任务而发生的各项支出，包括用于基本工资、绩效工资、津贴补贴、社会保障缴费等人员经费，办公费、印刷费、水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电费、差旅费、公务接待费、维修（护）费等日常公用经费，以及离退休费用等其他对个人和家庭的补助支出。</w:t>
      </w:r>
    </w:p>
    <w:p w:rsidR="00C14CD9" w:rsidRDefault="00CE5509">
      <w:pPr>
        <w:pStyle w:val="a6"/>
        <w:widowControl/>
        <w:numPr>
          <w:ilvl w:val="0"/>
          <w:numId w:val="3"/>
        </w:numPr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项目支出情况</w:t>
      </w:r>
    </w:p>
    <w:p w:rsidR="00C14CD9" w:rsidRDefault="00CE5509">
      <w:pPr>
        <w:pStyle w:val="a6"/>
        <w:widowControl/>
        <w:spacing w:line="64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2024年我镇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全年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项目支出1837.6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，主要是本部门为完成特定工作任务或事业发展目标而发生的支出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  <w:shd w:val="clear" w:color="auto" w:fill="FFFFFF"/>
        </w:rPr>
        <w:t>，包括有关事业发展专项、专项业务费、基本建设支出等，含村级支出、社区运转保障经费、离任村干部生活补助等项目支出。</w:t>
      </w:r>
    </w:p>
    <w:p w:rsidR="00C14CD9" w:rsidRDefault="00CE5509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:rsidR="00C14CD9" w:rsidRDefault="00CE5509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我镇无此项支出。</w:t>
      </w:r>
    </w:p>
    <w:p w:rsidR="00C14CD9" w:rsidRDefault="00CE5509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:rsidR="00C14CD9" w:rsidRDefault="00CE5509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我镇无此项支出。</w:t>
      </w:r>
    </w:p>
    <w:p w:rsidR="00C14CD9" w:rsidRDefault="00CE5509">
      <w:pPr>
        <w:pStyle w:val="a6"/>
        <w:widowControl/>
        <w:numPr>
          <w:ilvl w:val="0"/>
          <w:numId w:val="1"/>
        </w:numPr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:rsidR="00C14CD9" w:rsidRDefault="00CE5509">
      <w:pPr>
        <w:pStyle w:val="a6"/>
        <w:widowControl/>
        <w:spacing w:line="56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我镇无此项支出。</w:t>
      </w:r>
    </w:p>
    <w:p w:rsidR="00C14CD9" w:rsidRDefault="00CE5509">
      <w:pPr>
        <w:widowControl/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部门整体支出绩效情况</w:t>
      </w:r>
    </w:p>
    <w:p w:rsidR="00C14CD9" w:rsidRDefault="00CE5509">
      <w:pPr>
        <w:pStyle w:val="a6"/>
        <w:widowControl/>
        <w:spacing w:line="640" w:lineRule="exact"/>
        <w:ind w:firstLineChars="0" w:firstLine="640"/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严格执行预算，</w:t>
      </w:r>
      <w:r>
        <w:rPr>
          <w:rFonts w:ascii="Times New Roman" w:eastAsia="仿宋_GB2312" w:hAnsi="Times New Roman"/>
          <w:color w:val="000000"/>
          <w:sz w:val="32"/>
          <w:szCs w:val="32"/>
        </w:rPr>
        <w:t>财务管理规范，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坚持量力而行，量财办事，</w:t>
      </w:r>
      <w:r>
        <w:rPr>
          <w:rFonts w:ascii="Times New Roman" w:eastAsia="仿宋_GB2312" w:hAnsi="Times New Roman"/>
          <w:color w:val="000000"/>
          <w:sz w:val="32"/>
          <w:szCs w:val="32"/>
        </w:rPr>
        <w:t>单位行政运行稳定有序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各项工作任务全面完成，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部门整体支出绩效自评得分</w:t>
      </w:r>
      <w:r w:rsidR="00A939F1">
        <w:rPr>
          <w:rFonts w:ascii="仿宋_GB2312" w:eastAsia="仿宋_GB2312" w:hAnsi="仿宋_GB2312" w:cs="仿宋_GB2312" w:hint="eastAsia"/>
          <w:kern w:val="2"/>
          <w:sz w:val="32"/>
          <w:szCs w:val="32"/>
        </w:rPr>
        <w:t>97.18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分。</w:t>
      </w:r>
    </w:p>
    <w:p w:rsidR="00C14CD9" w:rsidRDefault="00CE5509">
      <w:pPr>
        <w:widowControl/>
        <w:numPr>
          <w:ilvl w:val="0"/>
          <w:numId w:val="4"/>
        </w:num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预算财务管理方面</w:t>
      </w:r>
    </w:p>
    <w:p w:rsidR="00C14CD9" w:rsidRDefault="00CE5509">
      <w:pPr>
        <w:pStyle w:val="a6"/>
        <w:widowControl/>
        <w:spacing w:line="640" w:lineRule="exact"/>
        <w:ind w:firstLineChars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</w:t>
      </w:r>
      <w:r>
        <w:rPr>
          <w:rFonts w:ascii="Times New Roman" w:eastAsia="仿宋_GB2312" w:hAnsi="Times New Roman"/>
          <w:color w:val="000000"/>
          <w:sz w:val="32"/>
          <w:szCs w:val="32"/>
        </w:rPr>
        <w:t>严格遵守各项规章制度，严格执行经费审批制度、财务会审制度和报销程序，加强了经费支出的监督管理，实现了资金申请、审批、拨付、监督等全流程制度化管理；坚持经费预算科学化、精细化，执行控制规范化、责</w:t>
      </w: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任化，监督检查常态化、同步化；资金使用没有截留、挪用、虚列支出、随意借用等情况；重大财务事项经由集体研究决策；专项资金做到专款专用；原始凭证的取得真实有效。部门预决算信息按规定内容，在规定的时限内予以公开。基础数据信息和会计信息资料真实、完整、准确。</w:t>
      </w:r>
    </w:p>
    <w:p w:rsidR="00C14CD9" w:rsidRDefault="00CE5509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44"/>
          <w:sz w:val="32"/>
          <w:szCs w:val="32"/>
        </w:rPr>
        <w:t>（二）履职产出效益方面</w:t>
      </w:r>
    </w:p>
    <w:p w:rsidR="00C14CD9" w:rsidRDefault="00CE5509">
      <w:pPr>
        <w:pStyle w:val="a6"/>
        <w:widowControl/>
        <w:spacing w:line="640" w:lineRule="exact"/>
        <w:ind w:firstLineChars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镇</w:t>
      </w:r>
      <w:r>
        <w:rPr>
          <w:rFonts w:ascii="Times New Roman" w:eastAsia="仿宋_GB2312" w:hAnsi="Times New Roman"/>
          <w:color w:val="000000"/>
          <w:sz w:val="32"/>
          <w:szCs w:val="32"/>
        </w:rPr>
        <w:t>认真履行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法定职责</w:t>
      </w:r>
      <w:r>
        <w:rPr>
          <w:rFonts w:ascii="Times New Roman" w:eastAsia="仿宋_GB2312" w:hAnsi="Times New Roman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履职情况如下：</w:t>
      </w:r>
    </w:p>
    <w:p w:rsidR="00C14CD9" w:rsidRDefault="00CE5509">
      <w:pPr>
        <w:pStyle w:val="a6"/>
        <w:widowControl/>
        <w:spacing w:line="640" w:lineRule="exact"/>
        <w:ind w:firstLineChars="0" w:firstLine="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　　1、以提质赋能打开经济发展新局面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全年投入资金2400万元，整村推进福星村高标准农田建设，全年完成粮食种植面积6.85万亩，油菜、芥菜、玉米、黄豆、棉花等产业均有较好增长；坚决遏制耕地“非粮化”“非农化”，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违规图斑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整改到位率100%，其中“两非”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存量图斑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整改在全区率先完，粮食饭碗端得更稳更牢。农业产业稳步发展。大力发展订单农业，“悦梦种苗”“康庭源吊瓜子”“旺君龙龙虾”“福星蘑菇”等品牌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做优做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强，推动我镇特色农业高质高效发展。特色产业提质增效。3月9日，成功举办了湖南省第四届油菜花节君山分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会场暨君山区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第十届油菜花节，开幕式当天吸引游客3万多人次，节会期间，接待游客35万人次，创收2000余万元，“油菜+旅游”产业年综合创收约1.4亿元。节会经济再创新高。</w:t>
      </w:r>
    </w:p>
    <w:p w:rsidR="00C14CD9" w:rsidRDefault="00CE5509">
      <w:pPr>
        <w:pStyle w:val="a6"/>
        <w:widowControl/>
        <w:spacing w:line="640" w:lineRule="exact"/>
        <w:ind w:firstLineChars="0" w:firstLine="640"/>
        <w:rPr>
          <w:rFonts w:ascii="仿宋_GB2312" w:eastAsia="仿宋_GB2312" w:hAnsi="仿宋_GB2312" w:cs="仿宋_GB2312"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2、以绿水青山展现镇村风土新形象。</w:t>
      </w:r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大力开展垃圾清运，全年</w:t>
      </w:r>
      <w:r>
        <w:rPr>
          <w:rFonts w:ascii="仿宋_GB2312" w:eastAsia="仿宋_GB2312" w:cs="仿宋_GB2312" w:hint="eastAsia"/>
          <w:spacing w:val="-4"/>
          <w:sz w:val="32"/>
          <w:szCs w:val="32"/>
        </w:rPr>
        <w:t>共清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理各类垃圾 7000多吨，村容村貌明显改善。创建了</w:t>
      </w:r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福华、纺织、纺织棚改、团结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四个示范小区，示范引领取得好成效。扎实推进厕所革命，</w:t>
      </w:r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改（新）建农村户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厕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140户，整改问题厕所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446个。</w:t>
      </w:r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着力改善了人居环境。常态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化开展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河湖巡查，镇、村两级河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长完成巡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河680余人次，交办问题88起，清理河道、沟渠水葫芦33公里，清运河道垃圾22.3吨，有效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防范水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环境污染。积极开展打击非法采砂和取土专项行动，及时制止藕池河2起私挖滥采砂行为。严厉打击河道电鱼、毒鱼、网鱼等违法行为，批评警示教育350余人次。守护好一江碧水。强化扬尘、油烟等综合治理，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持续抓好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秸秆焚烧，打好蓝天保卫战</w:t>
      </w:r>
      <w:r>
        <w:rPr>
          <w:rFonts w:ascii="仿宋_GB2312" w:eastAsia="仿宋_GB2312" w:hAnsi="仿宋_GB2312" w:cs="仿宋_GB2312" w:hint="eastAsia"/>
          <w:b/>
          <w:bCs/>
          <w:spacing w:val="7"/>
          <w:kern w:val="2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建立了农药包装废弃物镇级归集点1个，村级回收点19个。大力推广有机肥替代化肥、机械深施肥等技术，其中有机肥1000吨，测土配方施肥9.3万亩，水肥一体化3000余亩。推进净土保卫战。</w:t>
      </w:r>
    </w:p>
    <w:p w:rsidR="00C14CD9" w:rsidRDefault="00CE5509">
      <w:pPr>
        <w:pStyle w:val="a6"/>
        <w:widowControl/>
        <w:spacing w:line="640" w:lineRule="exact"/>
        <w:ind w:firstLineChars="0" w:firstLine="640"/>
        <w:rPr>
          <w:rFonts w:ascii="仿宋_GB2312" w:eastAsia="仿宋_GB2312" w:hAnsi="仿宋_GB2312" w:cs="仿宋_GB2312"/>
          <w:b/>
          <w:bCs/>
          <w:spacing w:val="7"/>
          <w:kern w:val="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3、以倾情投入推动民生事业新进步。全年累计发放“四跟四走”产业扶贫资金9.1万元，庭院经济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项目奖补资金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5.2万元、教育补助6.75万元、小额信贷38万元、公益性岗位补贴44万元，实现脱贫劳动力外出务工510人，完成“衔接资金项目”12个295万元。巩固了脱贫成</w:t>
      </w:r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lastRenderedPageBreak/>
        <w:t>效。全镇11个村（社区）集体经济10万元以上实现全覆盖，集体经济收入30万元村3个、50万元村1个,实现村集体经济量的合理增长和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质的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有效提升。壮大了集体经济。严格落实各项特殊人群帮扶政策，全镇城镇</w:t>
      </w:r>
      <w:proofErr w:type="gramStart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低保对象</w:t>
      </w:r>
      <w:proofErr w:type="gramEnd"/>
      <w:r>
        <w:rPr>
          <w:rFonts w:ascii="仿宋_GB2312" w:eastAsia="仿宋_GB2312" w:hAnsi="仿宋_GB2312" w:cs="仿宋_GB2312" w:hint="eastAsia"/>
          <w:spacing w:val="7"/>
          <w:kern w:val="2"/>
          <w:sz w:val="32"/>
          <w:szCs w:val="32"/>
          <w:shd w:val="clear" w:color="auto" w:fill="FFFFFF"/>
        </w:rPr>
        <w:t>374户707人，特困供养人员48户，孤儿和事实无人抚养儿童21名，做到应保尽保、应救尽救。关心关爱残障人士，为215位重度残疾人、220位困难残疾人发放了“两残补助”41.76万元，落实残疾人无障碍改造项目7个，并发放轮椅10辆。推进农村互助式养老示范点创建工作，5个村（社区）完成了示范点创建并投入实体运营，提升老年群体获得感、幸福感。保障了民生福祉。</w:t>
      </w:r>
    </w:p>
    <w:p w:rsidR="00C14CD9" w:rsidRDefault="00CE5509">
      <w:pPr>
        <w:spacing w:line="600" w:lineRule="exact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我镇</w:t>
      </w:r>
      <w:r>
        <w:rPr>
          <w:rFonts w:ascii="仿宋_GB2312" w:eastAsia="仿宋_GB2312" w:hAnsi="仿宋_GB2312" w:cs="仿宋_GB2312" w:hint="eastAsia"/>
          <w:sz w:val="32"/>
          <w:szCs w:val="22"/>
        </w:rPr>
        <w:t>荣获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计划生育协会先进单位省级荣誉；</w:t>
      </w:r>
      <w:r>
        <w:rPr>
          <w:rFonts w:ascii="仿宋_GB2312" w:eastAsia="仿宋_GB2312" w:hAnsi="仿宋_GB2312" w:cs="仿宋_GB2312" w:hint="eastAsia"/>
          <w:sz w:val="32"/>
          <w:szCs w:val="22"/>
        </w:rPr>
        <w:t>市农村人居环境整治提升先进乡镇、食品安全工作A级单位等4项市级荣誉；区“4.25”系列活动先进单位、巩固拓展脱贫攻坚成果同乡村振兴有效衔接工作先进单位、田长制工作先进单位等9项区级荣誉。重点工作、特色产业发展等得到央视新闻、人民日报、新华社、湖南卫视、湖南日报、岳阳日报等主流媒体宣传推介。</w:t>
      </w:r>
    </w:p>
    <w:p w:rsidR="00C14CD9" w:rsidRDefault="00CE5509">
      <w:pPr>
        <w:pStyle w:val="a6"/>
        <w:widowControl/>
        <w:spacing w:line="640" w:lineRule="exact"/>
        <w:ind w:firstLineChars="0" w:firstLine="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 xml:space="preserve">　　</w:t>
      </w: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C14CD9" w:rsidRDefault="00CE550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存在的问题：</w:t>
      </w:r>
    </w:p>
    <w:p w:rsidR="00C14CD9" w:rsidRDefault="00CE5509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预算编制以及预算执行不</w:t>
      </w:r>
      <w:r>
        <w:rPr>
          <w:rFonts w:ascii="Times New Roman" w:eastAsia="仿宋_GB2312" w:hAnsi="Times New Roman" w:hint="eastAsia"/>
          <w:sz w:val="32"/>
          <w:szCs w:val="32"/>
        </w:rPr>
        <w:t>够</w:t>
      </w:r>
      <w:r>
        <w:rPr>
          <w:rFonts w:ascii="Times New Roman" w:eastAsia="仿宋_GB2312" w:hAnsi="Times New Roman"/>
          <w:sz w:val="32"/>
          <w:szCs w:val="32"/>
        </w:rPr>
        <w:t>合理。预算编制与实际支出存在不小的差异，预算不足，难以满足需要。</w:t>
      </w:r>
    </w:p>
    <w:p w:rsidR="00C14CD9" w:rsidRDefault="00CE5509">
      <w:pPr>
        <w:widowControl/>
        <w:numPr>
          <w:ilvl w:val="0"/>
          <w:numId w:val="5"/>
        </w:numPr>
        <w:shd w:val="clear" w:color="auto" w:fill="FFFFFF"/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预算绩效管理工作贯穿全年，与各个部门、各站所业务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 w:rsidR="00C14CD9" w:rsidRDefault="00CE5509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主要原因是根据预算编制规则，预算资金缩减，公用经费</w:t>
      </w:r>
      <w:r>
        <w:rPr>
          <w:rFonts w:ascii="Times New Roman" w:eastAsia="仿宋_GB2312" w:hAnsi="Times New Roman" w:hint="eastAsia"/>
          <w:sz w:val="32"/>
          <w:szCs w:val="32"/>
        </w:rPr>
        <w:t>和专项资金</w:t>
      </w:r>
      <w:r>
        <w:rPr>
          <w:rFonts w:ascii="Times New Roman" w:eastAsia="仿宋_GB2312" w:hAnsi="Times New Roman"/>
          <w:sz w:val="32"/>
          <w:szCs w:val="32"/>
        </w:rPr>
        <w:t>不足，难以满足需要。</w:t>
      </w:r>
    </w:p>
    <w:p w:rsidR="00C14CD9" w:rsidRDefault="00CE5509">
      <w:pPr>
        <w:widowControl/>
        <w:numPr>
          <w:ilvl w:val="0"/>
          <w:numId w:val="6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下一步改进措施</w:t>
      </w:r>
    </w:p>
    <w:p w:rsidR="00C14CD9" w:rsidRDefault="00CE5509">
      <w:pPr>
        <w:pStyle w:val="a3"/>
        <w:ind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hint="eastAsia"/>
        </w:rPr>
        <w:t xml:space="preserve">　　</w:t>
      </w:r>
      <w:r>
        <w:rPr>
          <w:rFonts w:ascii="Times New Roman" w:eastAsia="仿宋_GB2312" w:hAnsi="Times New Roman" w:hint="eastAsia"/>
          <w:sz w:val="32"/>
          <w:szCs w:val="32"/>
        </w:rPr>
        <w:t xml:space="preserve">　一是按照预算规定的项目和用途严格财务审核，经费支出严格按预算规定项目的财务支出内容进行财务核算，在预算金额内严格控制费用的支出。</w:t>
      </w:r>
    </w:p>
    <w:p w:rsidR="00C14CD9" w:rsidRDefault="00CE5509">
      <w:pPr>
        <w:pStyle w:val="a3"/>
        <w:ind w:firstLineChars="0" w:firstLine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　　二是预算财务分析常态化，定期做好预算支出财务分析，做好单位整体支出预算评价工作。</w:t>
      </w:r>
    </w:p>
    <w:p w:rsidR="00C14CD9" w:rsidRDefault="00CE5509">
      <w:pPr>
        <w:widowControl/>
        <w:numPr>
          <w:ilvl w:val="0"/>
          <w:numId w:val="6"/>
        </w:num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部门整体支出绩效自评结果拟应用和公开情况</w:t>
      </w:r>
    </w:p>
    <w:p w:rsidR="00C14CD9" w:rsidRDefault="00CE5509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:rsidR="00C14CD9" w:rsidRDefault="00CE5509">
      <w:pPr>
        <w:widowControl/>
        <w:shd w:val="clear" w:color="auto" w:fill="FFFFFF"/>
        <w:spacing w:line="560" w:lineRule="exact"/>
        <w:ind w:firstLineChars="200" w:firstLine="640"/>
      </w:pPr>
      <w:r>
        <w:rPr>
          <w:rFonts w:ascii="Times New Roman" w:eastAsia="仿宋_GB2312" w:hAnsi="Times New Roman" w:hint="eastAsia"/>
          <w:sz w:val="32"/>
          <w:szCs w:val="32"/>
        </w:rPr>
        <w:t>对部门整体支出绩效自评在规定时间内公开至本单位门户网站，确保公开数据真实、完整、准确。</w:t>
      </w:r>
    </w:p>
    <w:p w:rsidR="00C14CD9" w:rsidRDefault="00CE5509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十、</w:t>
      </w:r>
      <w:r>
        <w:rPr>
          <w:rFonts w:ascii="Times New Roman" w:eastAsia="黑体" w:hAnsi="Times New Roman"/>
          <w:sz w:val="32"/>
          <w:szCs w:val="32"/>
        </w:rPr>
        <w:t>其他需要说明的情况</w:t>
      </w:r>
    </w:p>
    <w:p w:rsidR="00C14CD9" w:rsidRDefault="00CE5509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无。</w:t>
      </w:r>
      <w:r>
        <w:rPr>
          <w:rFonts w:ascii="Times New Roman" w:eastAsia="仿宋_GB2312" w:hAnsi="Times New Roman" w:hint="eastAsia"/>
          <w:sz w:val="32"/>
          <w:szCs w:val="32"/>
        </w:rPr>
        <w:br w:type="page"/>
      </w:r>
    </w:p>
    <w:p w:rsidR="00C14CD9" w:rsidRDefault="00CE5509" w:rsidP="00A04BF4">
      <w:pPr>
        <w:spacing w:afterLines="5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:rsidR="00C14CD9" w:rsidRDefault="00CE5509" w:rsidP="00A04BF4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2024年度部门整体支出绩效评价基础数据表</w:t>
      </w:r>
    </w:p>
    <w:tbl>
      <w:tblPr>
        <w:tblW w:w="9673" w:type="dxa"/>
        <w:jc w:val="center"/>
        <w:tblLayout w:type="fixed"/>
        <w:tblLook w:val="04A0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C14CD9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C14CD9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52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92.86%　</w:t>
            </w:r>
          </w:p>
        </w:tc>
      </w:tr>
      <w:tr w:rsidR="00C14CD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2024年决算数</w:t>
            </w:r>
          </w:p>
        </w:tc>
      </w:tr>
      <w:tr w:rsidR="00C14CD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E92C1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14CD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C14CD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C14CD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C14CD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</w:tr>
      <w:tr w:rsidR="00C14CD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0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1086.18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1837.6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1837.6</w:t>
            </w:r>
          </w:p>
        </w:tc>
      </w:tr>
      <w:tr w:rsidR="00CE5509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1837.6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1837.6　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89.25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326.53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77.7</w:t>
            </w:r>
            <w:r w:rsidR="003D6F98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25.7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14.98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14.98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12.5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12.6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12.6</w:t>
            </w:r>
          </w:p>
        </w:tc>
      </w:tr>
      <w:tr w:rsidR="00CE5509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4.11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421.23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421.23　</w:t>
            </w:r>
          </w:p>
        </w:tc>
      </w:tr>
      <w:tr w:rsidR="00CE5509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CE5509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959.65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3D6F98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1181</w:t>
            </w:r>
            <w:r w:rsidR="00CE550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E5509" w:rsidRDefault="003D6F98" w:rsidP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1181</w:t>
            </w:r>
          </w:p>
        </w:tc>
      </w:tr>
      <w:tr w:rsidR="00CE5509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（2024年完工项目）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3D6F98" w:rsidP="003D6F98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  <w:r w:rsidR="00CE550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CE5509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　</w:t>
            </w:r>
          </w:p>
        </w:tc>
      </w:tr>
      <w:tr w:rsidR="00CE5509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509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W w:w="9673" w:type="dxa"/>
              <w:jc w:val="center"/>
              <w:tblLayout w:type="fixed"/>
              <w:tblLook w:val="04A0"/>
            </w:tblPr>
            <w:tblGrid>
              <w:gridCol w:w="9673"/>
            </w:tblGrid>
            <w:tr w:rsidR="003D6F98" w:rsidTr="00AA6C95">
              <w:trPr>
                <w:jc w:val="center"/>
              </w:trPr>
              <w:tc>
                <w:tcPr>
                  <w:tcW w:w="63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3D6F98" w:rsidRDefault="003D6F98" w:rsidP="00AA6C95">
                  <w:pPr>
                    <w:widowControl/>
                    <w:spacing w:line="360" w:lineRule="exact"/>
                    <w:jc w:val="left"/>
                    <w:rPr>
                      <w:rFonts w:ascii="仿宋_GB2312" w:eastAsia="仿宋_GB2312" w:hAnsi="仿宋_GB2312" w:cs="仿宋_GB2312"/>
                      <w:sz w:val="20"/>
                      <w:szCs w:val="20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0"/>
                      <w:szCs w:val="20"/>
                    </w:rPr>
                    <w:t>深入贯彻落实中央八项规定及其实施细则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sz w:val="20"/>
                      <w:szCs w:val="20"/>
                    </w:rPr>
                    <w:t>特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sz w:val="20"/>
                      <w:szCs w:val="20"/>
                    </w:rPr>
                    <w:t>神，严格控制“三公”经费开支，严禁超范围、超标准开支，</w:t>
                  </w:r>
                  <w:proofErr w:type="gramStart"/>
                  <w:r>
                    <w:rPr>
                      <w:rFonts w:ascii="仿宋_GB2312" w:eastAsia="仿宋_GB2312" w:hAnsi="仿宋_GB2312" w:cs="仿宋_GB2312" w:hint="eastAsia"/>
                      <w:sz w:val="20"/>
                      <w:szCs w:val="20"/>
                    </w:rPr>
                    <w:t>践行</w:t>
                  </w:r>
                  <w:proofErr w:type="gramEnd"/>
                  <w:r>
                    <w:rPr>
                      <w:rFonts w:ascii="仿宋_GB2312" w:eastAsia="仿宋_GB2312" w:hAnsi="仿宋_GB2312" w:cs="仿宋_GB2312" w:hint="eastAsia"/>
                      <w:sz w:val="20"/>
                      <w:szCs w:val="20"/>
                    </w:rPr>
                    <w:t xml:space="preserve">精细化管理理念，加强绩效化管理，推进绩效评价结果与预算挂钩，严防资金低效使用，确保财力有效转化为保障力。　　</w:t>
                  </w:r>
                </w:p>
              </w:tc>
            </w:tr>
          </w:tbl>
          <w:p w:rsidR="00CE5509" w:rsidRPr="003D6F98" w:rsidRDefault="00CE5509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</w:tbl>
    <w:p w:rsidR="00C14CD9" w:rsidRDefault="00CE5509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C14CD9" w:rsidRDefault="00C14CD9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C14CD9" w:rsidRDefault="00CE5509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bookmarkStart w:id="0" w:name="_GoBack"/>
      <w:bookmarkEnd w:id="0"/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</w:p>
    <w:p w:rsidR="00C14CD9" w:rsidRDefault="00CE5509" w:rsidP="00A04BF4">
      <w:pPr>
        <w:widowControl/>
        <w:spacing w:afterLines="5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lastRenderedPageBreak/>
        <w:t>2024年度部门整体支出绩效自评表</w:t>
      </w:r>
    </w:p>
    <w:tbl>
      <w:tblPr>
        <w:tblW w:w="10079" w:type="dxa"/>
        <w:jc w:val="center"/>
        <w:tblLayout w:type="fixed"/>
        <w:tblLook w:val="04A0"/>
      </w:tblPr>
      <w:tblGrid>
        <w:gridCol w:w="1080"/>
        <w:gridCol w:w="1080"/>
        <w:gridCol w:w="1019"/>
        <w:gridCol w:w="1623"/>
        <w:gridCol w:w="1349"/>
        <w:gridCol w:w="1297"/>
        <w:gridCol w:w="735"/>
        <w:gridCol w:w="675"/>
        <w:gridCol w:w="1221"/>
      </w:tblGrid>
      <w:tr w:rsidR="00C14CD9">
        <w:trPr>
          <w:trHeight w:val="51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良心堡镇人民政府</w:t>
            </w:r>
          </w:p>
        </w:tc>
      </w:tr>
      <w:tr w:rsidR="00C14C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3D6F9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1251.53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3D6F9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3018.6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3D6F9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2770.06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E92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91.77</w:t>
            </w:r>
            <w:r w:rsidR="00CE5509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E92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9.18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其中：一般公共预算：</w:t>
            </w:r>
            <w:r w:rsidR="003D6F98"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1830.08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 w:rsidR="003D6F9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932.46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  <w:r w:rsidR="003D6F9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443.11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 w:rsidR="003D6F9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1837.6</w:t>
            </w:r>
          </w:p>
        </w:tc>
      </w:tr>
      <w:tr w:rsidR="00C14CD9">
        <w:trPr>
          <w:trHeight w:val="23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  <w:r w:rsidR="003D6F9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496.87</w:t>
            </w:r>
          </w:p>
        </w:tc>
        <w:tc>
          <w:tcPr>
            <w:tcW w:w="39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C14C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A6C95" w:rsidRPr="00AA6C95" w:rsidRDefault="00AA6C95" w:rsidP="00AA6C9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1、坚持党建引领全局，切实加强干部队伍建设。</w:t>
            </w:r>
          </w:p>
          <w:p w:rsidR="00AA6C95" w:rsidRPr="00AA6C95" w:rsidRDefault="00AA6C95" w:rsidP="00AA6C9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2、打造“油菜之乡”，加速农</w:t>
            </w:r>
            <w:proofErr w:type="gramStart"/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文旅体</w:t>
            </w:r>
            <w:proofErr w:type="gramEnd"/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融合发展。</w:t>
            </w:r>
          </w:p>
          <w:p w:rsidR="00AA6C95" w:rsidRPr="00AA6C95" w:rsidRDefault="00AA6C95" w:rsidP="00AA6C9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3、拓展脱贫攻坚成果，推动乡村振兴进程。</w:t>
            </w:r>
          </w:p>
          <w:p w:rsidR="00AA6C95" w:rsidRPr="00AA6C95" w:rsidRDefault="00AA6C95" w:rsidP="00AA6C9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4、加大环保整治力度，打造生态秀美宜居小区。</w:t>
            </w:r>
          </w:p>
          <w:p w:rsidR="00AA6C95" w:rsidRPr="00AA6C95" w:rsidRDefault="00AA6C95" w:rsidP="00AA6C9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5、坚持系统治理、依法治理、综合治理、源头治理，持续深化基层社会治理。</w:t>
            </w:r>
          </w:p>
          <w:p w:rsidR="00C14CD9" w:rsidRDefault="00AA6C95" w:rsidP="00AA6C9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AA6C95"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6、统筹推进民生事业发展。</w:t>
            </w:r>
          </w:p>
        </w:tc>
        <w:tc>
          <w:tcPr>
            <w:tcW w:w="3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一是预算执行情况较好，支出把关较严，量力而行，量财办事；二是专项资金“三专”管理，无截留、套取、挪用专项资金行为；三是农村产业结构调整较好，低效常规农作物种植率较低。四是民生福祉改善明显，群众的幸福指数明显上升，圆满完成全年目标任务。　</w:t>
            </w:r>
          </w:p>
        </w:tc>
      </w:tr>
      <w:tr w:rsidR="00C14C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C14CD9" w:rsidRDefault="00C14CD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推广粮食种植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6万亩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6.8万亩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办油菜+旅游油菜花节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灾害防治、森林防火知识培训覆盖村居数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11个村（居）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11个村（居）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改善民生，低收入人群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应保尽保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776户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776户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集镇垃圾清运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0.7万吨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0.75万吨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粮食增产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trHeight w:val="29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节会增收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200</w:t>
            </w: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320万元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培训合格率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入保率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Arial" w:eastAsia="仿宋_GB2312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垃圾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漕运率</w:t>
            </w:r>
            <w:proofErr w:type="gram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Arial" w:eastAsia="仿宋_GB2312" w:hAnsi="Arial" w:cs="Arial"/>
                <w:color w:val="000000"/>
                <w:sz w:val="20"/>
                <w:szCs w:val="20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完成任务时间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2024、12、31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2024、12、31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批复预算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2045.83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2045.83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群众收入增加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A04BF4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社会和谐，群众幸福感增强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A04BF4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因本年政策未实施到位,下年改进.</w:t>
            </w:r>
          </w:p>
        </w:tc>
      </w:tr>
      <w:tr w:rsidR="00E92C1B" w:rsidTr="00A65D75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环境明显改善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A04BF4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92C1B" w:rsidTr="00A65D75">
        <w:trPr>
          <w:trHeight w:val="4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民生改善、社会稳定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A04BF4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因本年政策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lastRenderedPageBreak/>
              <w:t>未实施到位,下年改进.</w:t>
            </w:r>
          </w:p>
        </w:tc>
      </w:tr>
      <w:tr w:rsidR="00E92C1B" w:rsidTr="00A65D75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社会公众或服务对象满意度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2C1B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C1B" w:rsidRDefault="00E92C1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14CD9">
        <w:trPr>
          <w:trHeight w:val="270"/>
          <w:jc w:val="center"/>
        </w:trPr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E92C1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97.18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C14CD9" w:rsidRDefault="00CE5509">
      <w:pPr>
        <w:spacing w:line="360" w:lineRule="auto"/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C14CD9" w:rsidRDefault="00CE5509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附件3-1</w:t>
      </w:r>
    </w:p>
    <w:p w:rsidR="00C14CD9" w:rsidRDefault="00CE5509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2024年度项目支出绩效自评表</w:t>
      </w:r>
    </w:p>
    <w:tbl>
      <w:tblPr>
        <w:tblW w:w="10026" w:type="dxa"/>
        <w:jc w:val="center"/>
        <w:tblLook w:val="04A0"/>
      </w:tblPr>
      <w:tblGrid>
        <w:gridCol w:w="1080"/>
        <w:gridCol w:w="1080"/>
        <w:gridCol w:w="1080"/>
        <w:gridCol w:w="1224"/>
        <w:gridCol w:w="1220"/>
        <w:gridCol w:w="1241"/>
        <w:gridCol w:w="635"/>
        <w:gridCol w:w="873"/>
        <w:gridCol w:w="1593"/>
      </w:tblGrid>
      <w:tr w:rsidR="00C14CD9">
        <w:trPr>
          <w:trHeight w:val="4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社区运转保障经费</w:t>
            </w:r>
          </w:p>
        </w:tc>
      </w:tr>
      <w:tr w:rsidR="00C14CD9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良心堡镇人民政府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2个社区</w:t>
            </w:r>
          </w:p>
        </w:tc>
      </w:tr>
      <w:tr w:rsidR="00C14C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  </w:t>
            </w:r>
            <w:r w:rsidR="00AA6C9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14C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C14CD9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确保社区正常运转，居民服务到位　　</w:t>
            </w:r>
          </w:p>
        </w:tc>
        <w:tc>
          <w:tcPr>
            <w:tcW w:w="43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资金已拨付到位，社区运转正常，居民享受到了完善服务。</w:t>
            </w:r>
          </w:p>
        </w:tc>
      </w:tr>
      <w:tr w:rsidR="00C14CD9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EA060F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社区个数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2个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ind w:firstLineChars="100" w:firstLine="200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2个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社区运转正常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经费拨付合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＝100%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经费拨付及时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全年12个月，均按月拨付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按月拨付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拨付额度不超过预算批复的金额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68万元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68万元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提升社区服务水平，创收能力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社区更文明和谐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060F" w:rsidRDefault="004B4236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4B4236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居民的环保意识明显增强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236" w:rsidRDefault="004B4236" w:rsidP="00F061C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进一步宣贯节约型机关</w:t>
            </w:r>
          </w:p>
        </w:tc>
      </w:tr>
      <w:tr w:rsidR="004B4236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经济发展，社会和谐，环境改善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236" w:rsidRDefault="004B4236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4B4236" w:rsidTr="00852D49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指标</w:t>
            </w:r>
          </w:p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服务对象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居民满意度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95%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236" w:rsidRDefault="004B4236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4B4236">
        <w:trPr>
          <w:jc w:val="center"/>
        </w:trPr>
        <w:tc>
          <w:tcPr>
            <w:tcW w:w="6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总分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97.18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C14CD9" w:rsidRDefault="00CE5509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C14CD9" w:rsidRDefault="00CE5509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附件3-2</w:t>
      </w:r>
    </w:p>
    <w:p w:rsidR="00C14CD9" w:rsidRDefault="00CE5509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2024年度项目支出绩效自评表</w:t>
      </w:r>
    </w:p>
    <w:tbl>
      <w:tblPr>
        <w:tblW w:w="9851" w:type="dxa"/>
        <w:jc w:val="center"/>
        <w:tblLook w:val="04A0"/>
      </w:tblPr>
      <w:tblGrid>
        <w:gridCol w:w="1080"/>
        <w:gridCol w:w="1080"/>
        <w:gridCol w:w="1080"/>
        <w:gridCol w:w="1502"/>
        <w:gridCol w:w="1418"/>
        <w:gridCol w:w="992"/>
        <w:gridCol w:w="554"/>
        <w:gridCol w:w="857"/>
        <w:gridCol w:w="1288"/>
      </w:tblGrid>
      <w:tr w:rsidR="00C14CD9" w:rsidTr="00EB586B">
        <w:trPr>
          <w:trHeight w:val="48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村级运转保障经费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良心堡镇人民政府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全镇9个村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AA6C9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100%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AA6C95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AA6C95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14CD9" w:rsidRDefault="00C14CD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确保村级组织工作正常开展　　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资金已拨付到位，村级干部待遇得以落实，村级组织工作正常开展，村民享受了完善服务。</w:t>
            </w:r>
          </w:p>
        </w:tc>
      </w:tr>
      <w:tr w:rsidR="00C14CD9" w:rsidTr="00EB586B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运转经费保障村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＝9个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9个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村干部工资发放人数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在编人员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在编人员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村干部基本报酬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执行文件规定标准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已发放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工资到位率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＝100%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trHeight w:val="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经费拨付合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＝100%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经费拨付及时性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全年12个月，按月拨付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按月拨付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拨付经费不超过预算批复数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192.6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060F" w:rsidRDefault="00EA060F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经济增长率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村民幸福感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A060F" w:rsidTr="00AF2B7B">
        <w:trPr>
          <w:trHeight w:val="43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 w:rsidP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环境改善程度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60F" w:rsidRDefault="004B4236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4B4236" w:rsidTr="00AF2B7B">
        <w:trPr>
          <w:trHeight w:val="489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社会和谐稳定，居民安居乐业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4236" w:rsidRDefault="004B4236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4236" w:rsidRDefault="004B4236" w:rsidP="00F061CB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因本年政策未实施到位,下年改进.</w:t>
            </w:r>
          </w:p>
        </w:tc>
      </w:tr>
      <w:tr w:rsidR="00EA060F" w:rsidTr="00AF2B7B">
        <w:trPr>
          <w:trHeight w:val="66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村民满意度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95%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060F" w:rsidRDefault="00EA060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60F" w:rsidRDefault="00EA060F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C14CD9" w:rsidTr="00EB586B">
        <w:trPr>
          <w:trHeight w:val="366"/>
          <w:jc w:val="center"/>
        </w:trPr>
        <w:tc>
          <w:tcPr>
            <w:tcW w:w="71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CD9" w:rsidRDefault="00CE5509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C14CD9" w:rsidRDefault="00C14CD9">
      <w:pPr>
        <w:rPr>
          <w:rFonts w:ascii="Times New Roman" w:eastAsia="仿宋_GB2312" w:hAnsi="Times New Roman"/>
          <w:sz w:val="18"/>
          <w:szCs w:val="18"/>
        </w:rPr>
      </w:pPr>
    </w:p>
    <w:p w:rsidR="00EB586B" w:rsidRDefault="00CE5509">
      <w:pPr>
        <w:rPr>
          <w:rFonts w:ascii="Times New Roman" w:eastAsia="仿宋_GB2312" w:hAnsi="Times New Roman"/>
          <w:sz w:val="18"/>
          <w:szCs w:val="18"/>
        </w:rPr>
      </w:pPr>
      <w:r>
        <w:rPr>
          <w:rFonts w:ascii="Times New Roman" w:eastAsia="仿宋_GB2312" w:hAnsi="Times New Roman"/>
          <w:sz w:val="18"/>
          <w:szCs w:val="18"/>
        </w:rPr>
        <w:lastRenderedPageBreak/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</w:t>
      </w:r>
    </w:p>
    <w:p w:rsidR="00C14CD9" w:rsidRPr="00EB586B" w:rsidRDefault="00CE5509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EB586B" w:rsidRDefault="00EB586B" w:rsidP="00EB586B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2024年度项目支出绩效自评表</w:t>
      </w:r>
    </w:p>
    <w:tbl>
      <w:tblPr>
        <w:tblW w:w="9851" w:type="dxa"/>
        <w:jc w:val="center"/>
        <w:tblLook w:val="04A0"/>
      </w:tblPr>
      <w:tblGrid>
        <w:gridCol w:w="1080"/>
        <w:gridCol w:w="1080"/>
        <w:gridCol w:w="1080"/>
        <w:gridCol w:w="1224"/>
        <w:gridCol w:w="1220"/>
        <w:gridCol w:w="1261"/>
        <w:gridCol w:w="761"/>
        <w:gridCol w:w="857"/>
        <w:gridCol w:w="1288"/>
      </w:tblGrid>
      <w:tr w:rsidR="00EB586B" w:rsidTr="00DD452F">
        <w:trPr>
          <w:trHeight w:val="4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乡镇转移支付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岳阳市君山区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良心堡镇人民政府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EB586B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EB586B" w:rsidRDefault="00EB586B" w:rsidP="00DD452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121.42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121.42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121.42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100%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121.42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121.42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121.42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B586B" w:rsidRDefault="00EB586B" w:rsidP="00EB586B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确保乡镇转移支付工作正常开展　　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F00AE8" w:rsidP="00DD452F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 w:rsidRPr="00F00AE8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按月缴纳水电费、完成部门所需物资采购，发放临聘人员工资，保障镇机关日常工作正常运行</w:t>
            </w:r>
          </w:p>
        </w:tc>
      </w:tr>
      <w:tr w:rsidR="00EB586B" w:rsidTr="00DD452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临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聘工资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发放人数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临聘人员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临聘人员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按月交纳水电费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=1月/1次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已缴纳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工资到位率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＝100%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trHeight w:val="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经费拨付合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＝100%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经费拨付及时性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全年12个月，按月拨付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按月拨付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拨付经费不超过预算批复数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121.42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121.42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3D30" w:rsidRDefault="00AD3D30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经济增长率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村民幸福感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效果明显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AD3D3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环境改善程度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D30" w:rsidRDefault="004B4236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社会和谐稳定，居民安居乐业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效果明显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3D30" w:rsidRDefault="004B4236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因本年政策未实施到位,下年改进.</w:t>
            </w:r>
          </w:p>
        </w:tc>
      </w:tr>
      <w:tr w:rsidR="00AD3D30" w:rsidTr="00051068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村民满意度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≧90%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95%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3D30" w:rsidRDefault="00AD3D30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3D30" w:rsidRDefault="00AD3D30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EB586B" w:rsidTr="00DD452F">
        <w:trPr>
          <w:trHeight w:val="366"/>
          <w:jc w:val="center"/>
        </w:trPr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86B" w:rsidRDefault="00EB586B" w:rsidP="00DD452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EB586B" w:rsidRDefault="00EB586B" w:rsidP="00EB586B">
      <w:pPr>
        <w:rPr>
          <w:rFonts w:ascii="Times New Roman" w:eastAsia="仿宋_GB2312" w:hAnsi="Times New Roman"/>
          <w:sz w:val="18"/>
          <w:szCs w:val="18"/>
        </w:rPr>
      </w:pPr>
    </w:p>
    <w:p w:rsidR="00EB586B" w:rsidRDefault="00EB586B" w:rsidP="00EB586B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EB586B" w:rsidRDefault="00EB586B" w:rsidP="00EB586B">
      <w:pPr>
        <w:rPr>
          <w:rFonts w:ascii="Times New Roman" w:eastAsia="仿宋_GB2312" w:hAnsi="Times New Roman"/>
          <w:sz w:val="22"/>
          <w:szCs w:val="2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</w:p>
    <w:p w:rsidR="00EB586B" w:rsidRPr="00EB586B" w:rsidRDefault="00EB586B">
      <w:pPr>
        <w:rPr>
          <w:rFonts w:ascii="Times New Roman" w:eastAsia="仿宋_GB2312" w:hAnsi="Times New Roman"/>
          <w:sz w:val="22"/>
          <w:szCs w:val="22"/>
        </w:rPr>
      </w:pPr>
    </w:p>
    <w:sectPr w:rsidR="00EB586B" w:rsidRPr="00EB586B" w:rsidSect="00C1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C95" w:rsidRDefault="00AA6C95" w:rsidP="00CE5509">
      <w:r>
        <w:separator/>
      </w:r>
    </w:p>
  </w:endnote>
  <w:endnote w:type="continuationSeparator" w:id="1">
    <w:p w:rsidR="00AA6C95" w:rsidRDefault="00AA6C95" w:rsidP="00CE5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C95" w:rsidRDefault="00AA6C95" w:rsidP="00CE5509">
      <w:r>
        <w:separator/>
      </w:r>
    </w:p>
  </w:footnote>
  <w:footnote w:type="continuationSeparator" w:id="1">
    <w:p w:rsidR="00AA6C95" w:rsidRDefault="00AA6C95" w:rsidP="00CE5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E55167"/>
    <w:multiLevelType w:val="singleLevel"/>
    <w:tmpl w:val="A5E5516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13A4A2"/>
    <w:multiLevelType w:val="singleLevel"/>
    <w:tmpl w:val="1113A4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25036FE"/>
    <w:multiLevelType w:val="singleLevel"/>
    <w:tmpl w:val="425036F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4379EE1"/>
    <w:multiLevelType w:val="singleLevel"/>
    <w:tmpl w:val="74379EE1"/>
    <w:lvl w:ilvl="0">
      <w:start w:val="1"/>
      <w:numFmt w:val="decimal"/>
      <w:suff w:val="nothing"/>
      <w:lvlText w:val="%1、"/>
      <w:lvlJc w:val="left"/>
    </w:lvl>
  </w:abstractNum>
  <w:abstractNum w:abstractNumId="4">
    <w:nsid w:val="7F0490DB"/>
    <w:multiLevelType w:val="singleLevel"/>
    <w:tmpl w:val="7F0490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F66692C"/>
    <w:multiLevelType w:val="singleLevel"/>
    <w:tmpl w:val="7F66692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FmOThkMmVkM2YwMWY5MzUyN2JhYTM4ZmY0NTc3MjQifQ=="/>
  </w:docVars>
  <w:rsids>
    <w:rsidRoot w:val="59886344"/>
    <w:rsid w:val="DFEF884A"/>
    <w:rsid w:val="00371C55"/>
    <w:rsid w:val="003D6F98"/>
    <w:rsid w:val="004B4236"/>
    <w:rsid w:val="007F0CC7"/>
    <w:rsid w:val="00917A8C"/>
    <w:rsid w:val="00A04BF4"/>
    <w:rsid w:val="00A939F1"/>
    <w:rsid w:val="00AA6C95"/>
    <w:rsid w:val="00AD3D30"/>
    <w:rsid w:val="00C14CD9"/>
    <w:rsid w:val="00CE5509"/>
    <w:rsid w:val="00E173BB"/>
    <w:rsid w:val="00E92C1B"/>
    <w:rsid w:val="00EA060F"/>
    <w:rsid w:val="00EB586B"/>
    <w:rsid w:val="00F00AE8"/>
    <w:rsid w:val="00FD41A2"/>
    <w:rsid w:val="02987474"/>
    <w:rsid w:val="0368705F"/>
    <w:rsid w:val="03E40645"/>
    <w:rsid w:val="0494080E"/>
    <w:rsid w:val="06274B58"/>
    <w:rsid w:val="08AB4609"/>
    <w:rsid w:val="0B521208"/>
    <w:rsid w:val="0BD07CC1"/>
    <w:rsid w:val="0D1924E2"/>
    <w:rsid w:val="0D3D1EF3"/>
    <w:rsid w:val="0FC41FA8"/>
    <w:rsid w:val="10B419C8"/>
    <w:rsid w:val="11082F7E"/>
    <w:rsid w:val="11E12A75"/>
    <w:rsid w:val="11F96B83"/>
    <w:rsid w:val="12707B11"/>
    <w:rsid w:val="128D0F7A"/>
    <w:rsid w:val="1332534F"/>
    <w:rsid w:val="13D450F8"/>
    <w:rsid w:val="13DA2702"/>
    <w:rsid w:val="1405311A"/>
    <w:rsid w:val="14F61583"/>
    <w:rsid w:val="159168E6"/>
    <w:rsid w:val="15E77F19"/>
    <w:rsid w:val="15F13149"/>
    <w:rsid w:val="172B2124"/>
    <w:rsid w:val="1732338C"/>
    <w:rsid w:val="1CA92FCC"/>
    <w:rsid w:val="1D731A37"/>
    <w:rsid w:val="1E284F2F"/>
    <w:rsid w:val="23CA59B1"/>
    <w:rsid w:val="27AB07F0"/>
    <w:rsid w:val="28151034"/>
    <w:rsid w:val="2866790C"/>
    <w:rsid w:val="292C7FA1"/>
    <w:rsid w:val="2B0F3E96"/>
    <w:rsid w:val="2D410C84"/>
    <w:rsid w:val="2F2045CC"/>
    <w:rsid w:val="2F3C1703"/>
    <w:rsid w:val="32AC3B4A"/>
    <w:rsid w:val="32C548F8"/>
    <w:rsid w:val="340A5F2C"/>
    <w:rsid w:val="39700927"/>
    <w:rsid w:val="3C156456"/>
    <w:rsid w:val="3C4B2834"/>
    <w:rsid w:val="3C9C7C85"/>
    <w:rsid w:val="3CFC24D2"/>
    <w:rsid w:val="3D070645"/>
    <w:rsid w:val="3D141F11"/>
    <w:rsid w:val="41084201"/>
    <w:rsid w:val="430F1E49"/>
    <w:rsid w:val="43B151C2"/>
    <w:rsid w:val="441A7C24"/>
    <w:rsid w:val="4441183E"/>
    <w:rsid w:val="445265DF"/>
    <w:rsid w:val="458D5615"/>
    <w:rsid w:val="47226FD9"/>
    <w:rsid w:val="47D52737"/>
    <w:rsid w:val="48D03389"/>
    <w:rsid w:val="49A50F0B"/>
    <w:rsid w:val="49C51AD6"/>
    <w:rsid w:val="49C65963"/>
    <w:rsid w:val="49FF2520"/>
    <w:rsid w:val="4A5971B6"/>
    <w:rsid w:val="4A747320"/>
    <w:rsid w:val="4B9C166F"/>
    <w:rsid w:val="4BD66C09"/>
    <w:rsid w:val="4C404189"/>
    <w:rsid w:val="4E3C64AA"/>
    <w:rsid w:val="4FCE41A2"/>
    <w:rsid w:val="51943E17"/>
    <w:rsid w:val="519C5811"/>
    <w:rsid w:val="52BA3CE7"/>
    <w:rsid w:val="53230361"/>
    <w:rsid w:val="53C75190"/>
    <w:rsid w:val="540612DD"/>
    <w:rsid w:val="56EE3E47"/>
    <w:rsid w:val="590F015F"/>
    <w:rsid w:val="59886344"/>
    <w:rsid w:val="59BB0154"/>
    <w:rsid w:val="5B950730"/>
    <w:rsid w:val="5BD103EE"/>
    <w:rsid w:val="5C1263A3"/>
    <w:rsid w:val="5FB76975"/>
    <w:rsid w:val="60E253D9"/>
    <w:rsid w:val="616136BC"/>
    <w:rsid w:val="61FB2D38"/>
    <w:rsid w:val="63511B58"/>
    <w:rsid w:val="64CF6C8F"/>
    <w:rsid w:val="68DD5D2B"/>
    <w:rsid w:val="6A8D126F"/>
    <w:rsid w:val="6BDE1CB3"/>
    <w:rsid w:val="6C303DC2"/>
    <w:rsid w:val="6CA97D11"/>
    <w:rsid w:val="6E196E72"/>
    <w:rsid w:val="6EBC4974"/>
    <w:rsid w:val="6F0D3F47"/>
    <w:rsid w:val="715275D8"/>
    <w:rsid w:val="73102258"/>
    <w:rsid w:val="732D5129"/>
    <w:rsid w:val="745273DE"/>
    <w:rsid w:val="749D5D6D"/>
    <w:rsid w:val="75911025"/>
    <w:rsid w:val="767D7DFF"/>
    <w:rsid w:val="7728263E"/>
    <w:rsid w:val="79AD70BA"/>
    <w:rsid w:val="7A140880"/>
    <w:rsid w:val="7AAE1F33"/>
    <w:rsid w:val="7C9150AE"/>
    <w:rsid w:val="7FF5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CD9"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C14CD9"/>
    <w:pPr>
      <w:ind w:firstLineChars="200" w:firstLine="420"/>
    </w:pPr>
  </w:style>
  <w:style w:type="paragraph" w:styleId="a4">
    <w:name w:val="Body Text"/>
    <w:basedOn w:val="a"/>
    <w:next w:val="5"/>
    <w:semiHidden/>
    <w:qFormat/>
    <w:rsid w:val="00C14CD9"/>
    <w:rPr>
      <w:rFonts w:eastAsia="仿宋" w:cs="仿宋"/>
      <w:sz w:val="31"/>
      <w:szCs w:val="31"/>
      <w:lang w:eastAsia="en-US"/>
    </w:rPr>
  </w:style>
  <w:style w:type="paragraph" w:styleId="5">
    <w:name w:val="toc 5"/>
    <w:basedOn w:val="a"/>
    <w:next w:val="a"/>
    <w:uiPriority w:val="39"/>
    <w:qFormat/>
    <w:rsid w:val="00C14CD9"/>
    <w:pPr>
      <w:ind w:leftChars="800" w:left="1680"/>
    </w:pPr>
  </w:style>
  <w:style w:type="paragraph" w:styleId="a5">
    <w:name w:val="Normal (Web)"/>
    <w:basedOn w:val="a"/>
    <w:qFormat/>
    <w:rsid w:val="00C14CD9"/>
    <w:pPr>
      <w:spacing w:before="100" w:beforeAutospacing="1" w:after="100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rsid w:val="00C14CD9"/>
    <w:pPr>
      <w:ind w:firstLineChars="200" w:firstLine="420"/>
    </w:pPr>
  </w:style>
  <w:style w:type="paragraph" w:styleId="a6">
    <w:name w:val="List Paragraph"/>
    <w:basedOn w:val="a"/>
    <w:uiPriority w:val="99"/>
    <w:qFormat/>
    <w:rsid w:val="00C14CD9"/>
    <w:pPr>
      <w:ind w:firstLineChars="200" w:firstLine="420"/>
    </w:pPr>
    <w:rPr>
      <w:rFonts w:ascii="Calibri" w:hAnsi="Calibri"/>
      <w:szCs w:val="22"/>
    </w:rPr>
  </w:style>
  <w:style w:type="paragraph" w:styleId="a7">
    <w:name w:val="header"/>
    <w:basedOn w:val="a"/>
    <w:link w:val="Char"/>
    <w:rsid w:val="00CE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E5509"/>
    <w:rPr>
      <w:rFonts w:ascii="仿宋" w:hAnsi="仿宋"/>
      <w:sz w:val="18"/>
      <w:szCs w:val="18"/>
    </w:rPr>
  </w:style>
  <w:style w:type="paragraph" w:styleId="a8">
    <w:name w:val="footer"/>
    <w:basedOn w:val="a"/>
    <w:link w:val="Char0"/>
    <w:rsid w:val="00CE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CE5509"/>
    <w:rPr>
      <w:rFonts w:ascii="仿宋" w:hAnsi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16</Pages>
  <Words>6654</Words>
  <Characters>2153</Characters>
  <Application>Microsoft Office Word</Application>
  <DocSecurity>0</DocSecurity>
  <Lines>17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jsczpx02</cp:lastModifiedBy>
  <cp:revision>13</cp:revision>
  <dcterms:created xsi:type="dcterms:W3CDTF">2024-03-18T08:36:00Z</dcterms:created>
  <dcterms:modified xsi:type="dcterms:W3CDTF">2025-05-13T01:45:00Z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6E986DCC1D6647A9861CE7FCAF58D583_13</vt:lpwstr>
  </property>
</Properties>
</file>