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21994">
      <w:pPr>
        <w:jc w:val="center"/>
        <w:rPr>
          <w:rFonts w:hint="default" w:ascii="Times New Roman" w:hAnsi="Times New Roman" w:eastAsia="方正小标宋_GBK" w:cs="Times New Roman"/>
          <w:sz w:val="52"/>
          <w:szCs w:val="52"/>
          <w:highlight w:val="none"/>
        </w:rPr>
      </w:pPr>
    </w:p>
    <w:p w14:paraId="1A26B9F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君山区财政局</w:t>
      </w:r>
      <w:r>
        <w:rPr>
          <w:rFonts w:hint="eastAsia" w:ascii="方正小标宋简体" w:hAnsi="方正小标宋简体" w:eastAsia="方正小标宋简体" w:cs="方正小标宋简体"/>
          <w:sz w:val="44"/>
          <w:szCs w:val="44"/>
          <w:highlight w:val="none"/>
        </w:rPr>
        <w:t>部门整体支出</w:t>
      </w:r>
    </w:p>
    <w:p w14:paraId="1BF9B9D4">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6B832F47">
      <w:pPr>
        <w:jc w:val="center"/>
        <w:rPr>
          <w:rFonts w:hint="default" w:ascii="Times New Roman" w:hAnsi="Times New Roman" w:eastAsia="方正小标宋_GBK" w:cs="Times New Roman"/>
          <w:b/>
          <w:sz w:val="52"/>
          <w:szCs w:val="52"/>
          <w:highlight w:val="none"/>
        </w:rPr>
      </w:pPr>
    </w:p>
    <w:p w14:paraId="4E3E39DB">
      <w:pPr>
        <w:jc w:val="center"/>
        <w:rPr>
          <w:rFonts w:hint="default" w:ascii="Times New Roman" w:hAnsi="Times New Roman" w:eastAsia="楷体_GB2312" w:cs="Times New Roman"/>
          <w:b/>
          <w:sz w:val="32"/>
          <w:szCs w:val="32"/>
          <w:highlight w:val="none"/>
        </w:rPr>
      </w:pPr>
    </w:p>
    <w:p w14:paraId="0CB5A7A4">
      <w:pPr>
        <w:jc w:val="center"/>
        <w:rPr>
          <w:rFonts w:hint="default" w:ascii="Times New Roman" w:hAnsi="Times New Roman" w:eastAsia="楷体_GB2312" w:cs="Times New Roman"/>
          <w:b/>
          <w:sz w:val="32"/>
          <w:szCs w:val="32"/>
          <w:highlight w:val="none"/>
        </w:rPr>
      </w:pPr>
    </w:p>
    <w:p w14:paraId="3F6B1632">
      <w:pPr>
        <w:jc w:val="center"/>
        <w:rPr>
          <w:rFonts w:hint="default" w:ascii="Times New Roman" w:hAnsi="Times New Roman" w:eastAsia="楷体_GB2312" w:cs="Times New Roman"/>
          <w:b/>
          <w:sz w:val="32"/>
          <w:szCs w:val="32"/>
          <w:highlight w:val="none"/>
        </w:rPr>
      </w:pPr>
    </w:p>
    <w:p w14:paraId="53873461">
      <w:pPr>
        <w:jc w:val="center"/>
        <w:rPr>
          <w:rFonts w:hint="default" w:ascii="Times New Roman" w:hAnsi="Times New Roman" w:eastAsia="楷体_GB2312" w:cs="Times New Roman"/>
          <w:b/>
          <w:sz w:val="32"/>
          <w:szCs w:val="32"/>
          <w:highlight w:val="none"/>
        </w:rPr>
      </w:pPr>
    </w:p>
    <w:p w14:paraId="20209D3F">
      <w:pPr>
        <w:jc w:val="center"/>
        <w:rPr>
          <w:rFonts w:hint="default" w:ascii="Times New Roman" w:hAnsi="Times New Roman" w:eastAsia="楷体_GB2312" w:cs="Times New Roman"/>
          <w:b/>
          <w:sz w:val="32"/>
          <w:szCs w:val="32"/>
          <w:highlight w:val="none"/>
        </w:rPr>
      </w:pPr>
    </w:p>
    <w:p w14:paraId="61DA3210">
      <w:pPr>
        <w:jc w:val="center"/>
        <w:rPr>
          <w:rFonts w:hint="default" w:ascii="Times New Roman" w:hAnsi="Times New Roman" w:eastAsia="楷体_GB2312" w:cs="Times New Roman"/>
          <w:b/>
          <w:sz w:val="32"/>
          <w:szCs w:val="32"/>
          <w:highlight w:val="none"/>
        </w:rPr>
      </w:pPr>
    </w:p>
    <w:p w14:paraId="30591A6C">
      <w:pPr>
        <w:jc w:val="center"/>
        <w:rPr>
          <w:rFonts w:hint="default" w:ascii="Times New Roman" w:hAnsi="Times New Roman" w:eastAsia="黑体" w:cs="Times New Roman"/>
          <w:sz w:val="32"/>
          <w:szCs w:val="32"/>
          <w:highlight w:val="none"/>
        </w:rPr>
      </w:pPr>
    </w:p>
    <w:p w14:paraId="2FB7B011">
      <w:pPr>
        <w:jc w:val="center"/>
        <w:rPr>
          <w:rFonts w:hint="default" w:ascii="Times New Roman" w:hAnsi="Times New Roman" w:eastAsia="黑体" w:cs="Times New Roman"/>
          <w:sz w:val="32"/>
          <w:szCs w:val="32"/>
          <w:highlight w:val="none"/>
        </w:rPr>
      </w:pPr>
    </w:p>
    <w:p w14:paraId="2A11FE69">
      <w:pPr>
        <w:jc w:val="center"/>
        <w:rPr>
          <w:rFonts w:hint="default" w:ascii="Times New Roman" w:hAnsi="Times New Roman" w:eastAsia="黑体" w:cs="Times New Roman"/>
          <w:sz w:val="32"/>
          <w:szCs w:val="32"/>
          <w:highlight w:val="none"/>
        </w:rPr>
      </w:pPr>
    </w:p>
    <w:p w14:paraId="525B6EC3">
      <w:pPr>
        <w:jc w:val="both"/>
        <w:rPr>
          <w:rFonts w:hint="default" w:ascii="Times New Roman" w:hAnsi="Times New Roman" w:eastAsia="黑体" w:cs="Times New Roman"/>
          <w:sz w:val="32"/>
          <w:szCs w:val="32"/>
          <w:highlight w:val="none"/>
        </w:rPr>
      </w:pPr>
    </w:p>
    <w:p w14:paraId="70A4B04A">
      <w:pPr>
        <w:spacing w:line="600" w:lineRule="exact"/>
        <w:ind w:firstLine="2240" w:firstLineChars="700"/>
        <w:jc w:val="both"/>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单位名称：</w:t>
      </w:r>
      <w:r>
        <w:rPr>
          <w:rFonts w:hint="eastAsia" w:ascii="Times New Roman" w:hAnsi="Times New Roman" w:eastAsia="仿宋_GB2312" w:cs="Times New Roman"/>
          <w:sz w:val="32"/>
          <w:szCs w:val="32"/>
          <w:highlight w:val="none"/>
          <w:lang w:eastAsia="zh-CN"/>
        </w:rPr>
        <w:t>岳阳市君山区财政局</w:t>
      </w:r>
    </w:p>
    <w:p w14:paraId="589AFFA9">
      <w:pPr>
        <w:spacing w:line="600" w:lineRule="exact"/>
        <w:jc w:val="center"/>
        <w:rPr>
          <w:rFonts w:hint="eastAsia" w:ascii="Times New Roman" w:hAnsi="Times New Roman" w:eastAsia="楷体_GB2312" w:cs="Times New Roman"/>
          <w:sz w:val="32"/>
          <w:szCs w:val="32"/>
          <w:highlight w:val="none"/>
          <w:lang w:val="en-US" w:eastAsia="zh-CN"/>
        </w:rPr>
      </w:pPr>
    </w:p>
    <w:p w14:paraId="6B2908A4">
      <w:pPr>
        <w:spacing w:line="600" w:lineRule="exact"/>
        <w:jc w:val="center"/>
        <w:rPr>
          <w:rFonts w:hint="eastAsia" w:ascii="Times New Roman" w:hAnsi="Times New Roman" w:eastAsia="楷体_GB2312" w:cs="Times New Roman"/>
          <w:sz w:val="32"/>
          <w:szCs w:val="32"/>
          <w:highlight w:val="none"/>
          <w:lang w:val="en-US" w:eastAsia="zh-CN"/>
        </w:rPr>
      </w:pPr>
    </w:p>
    <w:p w14:paraId="1695031A">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 xml:space="preserve">    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8</w:t>
      </w:r>
      <w:r>
        <w:rPr>
          <w:rFonts w:hint="default" w:ascii="Times New Roman" w:hAnsi="Times New Roman" w:eastAsia="楷体_GB2312" w:cs="Times New Roman"/>
          <w:sz w:val="32"/>
          <w:szCs w:val="32"/>
          <w:highlight w:val="none"/>
        </w:rPr>
        <w:t>日</w:t>
      </w:r>
    </w:p>
    <w:p w14:paraId="7E349FD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32"/>
          <w:szCs w:val="32"/>
          <w:highlight w:val="none"/>
        </w:rPr>
        <w:br w:type="page"/>
      </w:r>
    </w:p>
    <w:p w14:paraId="77F9E62B">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君山区财政局</w:t>
      </w:r>
      <w:r>
        <w:rPr>
          <w:rFonts w:hint="eastAsia" w:ascii="方正小标宋简体" w:hAnsi="方正小标宋简体" w:eastAsia="方正小标宋简体" w:cs="方正小标宋简体"/>
          <w:sz w:val="44"/>
          <w:szCs w:val="44"/>
          <w:highlight w:val="none"/>
        </w:rPr>
        <w:t>部门整体支出</w:t>
      </w:r>
    </w:p>
    <w:p w14:paraId="50FB12AB">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0D230EFA">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3AD723A5">
      <w:pPr>
        <w:pStyle w:val="14"/>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一、</w:t>
      </w:r>
      <w:r>
        <w:rPr>
          <w:rFonts w:hint="default" w:ascii="Times New Roman" w:hAnsi="Times New Roman" w:eastAsia="黑体" w:cs="Times New Roman"/>
          <w:sz w:val="28"/>
          <w:szCs w:val="28"/>
          <w:highlight w:val="none"/>
        </w:rPr>
        <w:t>部门基本情况</w:t>
      </w:r>
    </w:p>
    <w:p w14:paraId="45F655D7">
      <w:pPr>
        <w:spacing w:line="570" w:lineRule="atLeast"/>
        <w:ind w:firstLine="562"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b/>
          <w:bCs/>
          <w:color w:val="000000"/>
          <w:sz w:val="28"/>
          <w:szCs w:val="28"/>
          <w:shd w:val="clear" w:color="auto" w:fill="FFFFFF"/>
          <w:lang w:val="en-US" w:eastAsia="zh-CN"/>
        </w:rPr>
        <w:t>（一）职能职责</w:t>
      </w:r>
    </w:p>
    <w:p w14:paraId="2D4B7515">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lang w:eastAsia="zh-CN"/>
        </w:rPr>
        <w:t>君山</w:t>
      </w:r>
      <w:r>
        <w:rPr>
          <w:rFonts w:hint="eastAsia" w:ascii="Times New Roman" w:hAnsi="Times New Roman" w:eastAsia="仿宋_GB2312" w:cs="Times New Roman"/>
          <w:color w:val="000000"/>
          <w:sz w:val="28"/>
          <w:szCs w:val="28"/>
          <w:highlight w:val="none"/>
        </w:rPr>
        <w:t>区财政局是负责本区财政收支、财税政策、国有资产基础管理和财政监督工作的政府职能部门，主要职责是：</w:t>
      </w:r>
    </w:p>
    <w:p w14:paraId="3C16745F">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组织贯彻执行国家财税方针政策，拟订和执行全区财政政策、改革方案，指导全区财政工作；分析预测宏观经济形势，参与制定各项宏观经济政策；提出运用财税政策实施宏观调控和综合平衡社会财力的建议；拟订和执行区与乡镇、政府与企业的分配政策，完善鼓励公益事业发展的财税政策。</w:t>
      </w:r>
    </w:p>
    <w:p w14:paraId="6E84B55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（2）起草财政、财务、会计管理等规章草案，制定和执行财政、财务、会计管理的制度及办法。</w:t>
      </w:r>
    </w:p>
    <w:p w14:paraId="555ED9F9">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承担区本级各项财政收支管理的责任。负责编制年度区本级预决算草案并组织执行。代编全区财政收支预算，汇总全区财政总决算；受区人民政府委托，向区人大报告区本级、全区预算、预算执行情况和财政总决算。负责全面实施预算绩效管理相关工作。组织制订区本级经费开支标准、定额，负责审核批复部门（单位）的年度预决算。完善转移支付制度，推进财政体制改革。</w:t>
      </w:r>
    </w:p>
    <w:p w14:paraId="7E6949C6">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（4）负责政府非税收入管理。负责政府性基金管理，按规定管理行政事业性收费。管理财政票据。按规定管理彩票资金。</w:t>
      </w:r>
    </w:p>
    <w:p w14:paraId="61379919">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（5）组织制定国库管理制度、国库集中收付制度，指导和监督区本级国库业务，按规定开展国库现金管理工作。负责制定政府采购制度并实施监督管理。负责牵头拟订政府购买服务政策并组织实施。</w:t>
      </w:r>
    </w:p>
    <w:p w14:paraId="48AB3A34">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6）贯彻执行国家税收法律、法规和税收调整政策，反馈政策执行情况，及时提出调整建议。研究制定区级管理权限内有关税收政策及税收政策调整方案并组织实施，按照规定权限，办理申报地方税收减免的有关工作。按规定承担地方关税管理的有关工作。</w:t>
      </w:r>
    </w:p>
    <w:p w14:paraId="74135EF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（7）负责制定行政事业单位国有资产管理规定制度，并负责组织实施和监督检查。负责控制社会集团购买力工作。负责财政预算内行政、事业单位和社会团体的非贸易外汇管理。</w:t>
      </w:r>
    </w:p>
    <w:p w14:paraId="613779AE">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（8）负责履行区级国有金融资本管理相关职责。负责牵头编制国有资产管理有关情况报告。</w:t>
      </w:r>
    </w:p>
    <w:p w14:paraId="4DD3D9E8">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9）负责办理和监督区财政的经济发展支出、区级政府性投资项目的财政拨款，参与拟订区建设投资的有关政策，组织实施基本建设财务制度，负责有关政策性补贴和专项储备资金财政管理工作。负责农村综合改革工作。</w:t>
      </w:r>
    </w:p>
    <w:p w14:paraId="679EB82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（10）会同有关部门管理区财政社会保障和就业及医疗卫生支出，组织实施社会保障资金（基金）的财务管理制度，编制区社会保障预决算草案。</w:t>
      </w:r>
    </w:p>
    <w:p w14:paraId="466D0EF6">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11）贯彻执行政府内外债务管理的政策，防范财政风险。负责统一管理区政府外债，制定基本管理制度。按规定管理外国政府和国际金融组织贷（赠）款。承担财税领域交流与合作的具体工作。承担地方政府任务核查、监督等相关职责。</w:t>
      </w:r>
    </w:p>
    <w:p w14:paraId="785ACD7D">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（12）负责管理全区的会计工作，监督和规范会计行为，组织实施国家统一的会计的制度，组织实施会计法律法规和规章，指导和监督注册会计师和会计师事务所的业务，指导和管理社会审计。</w:t>
      </w:r>
    </w:p>
    <w:p w14:paraId="2B519D82">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（13）监督检查财税法律法规、政策的执行情况，反映财政收支管理中的重大问题，提出加强财政管理的政策和建议。</w:t>
      </w:r>
    </w:p>
    <w:p w14:paraId="348FAABE">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（14）承办区委、区人民政府交办的其他事项。</w:t>
      </w:r>
    </w:p>
    <w:p w14:paraId="30DC0399">
      <w:pPr>
        <w:spacing w:line="570" w:lineRule="atLeast"/>
        <w:ind w:firstLine="562"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b/>
          <w:bCs/>
          <w:color w:val="000000"/>
          <w:sz w:val="28"/>
          <w:szCs w:val="28"/>
          <w:shd w:val="clear" w:color="auto" w:fill="FFFFFF"/>
          <w:lang w:val="en-US" w:eastAsia="zh-CN"/>
        </w:rPr>
        <w:t>（二）机构设置</w:t>
      </w:r>
    </w:p>
    <w:p w14:paraId="1440EBE3">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rPr>
        <w:t>区财政局</w:t>
      </w:r>
      <w:r>
        <w:rPr>
          <w:rFonts w:hint="eastAsia" w:ascii="Times New Roman" w:hAnsi="Times New Roman" w:eastAsia="仿宋_GB2312" w:cs="Times New Roman"/>
          <w:color w:val="000000"/>
          <w:sz w:val="28"/>
          <w:szCs w:val="28"/>
          <w:highlight w:val="none"/>
          <w:lang w:val="en-US" w:eastAsia="zh-CN"/>
        </w:rPr>
        <w:t>内设机构12个，事业单位7个。内设机构包括：</w:t>
      </w:r>
      <w:r>
        <w:rPr>
          <w:rFonts w:hint="eastAsia" w:ascii="Times New Roman" w:hAnsi="Times New Roman" w:eastAsia="仿宋_GB2312" w:cs="Times New Roman"/>
          <w:color w:val="000000"/>
          <w:sz w:val="28"/>
          <w:szCs w:val="28"/>
          <w:highlight w:val="none"/>
        </w:rPr>
        <w:t>办公室（加挂政工人事股牌子）、预算股（加挂预算编审办公室牌子）、国库股、经济建设股（加挂自然资源和生态环境股牌子）、行政政法教科文股、农业农村股、社会保障股、金融债务与企业股（加挂区政府国有资产管理办公室牌子）、法规与会计股、绩效评价与财监股、综合规划股、政府采购监督管理股</w:t>
      </w:r>
      <w:r>
        <w:rPr>
          <w:rFonts w:hint="eastAsia" w:ascii="Times New Roman" w:hAnsi="Times New Roman" w:eastAsia="仿宋_GB2312" w:cs="Times New Roman"/>
          <w:color w:val="000000"/>
          <w:sz w:val="28"/>
          <w:szCs w:val="28"/>
          <w:highlight w:val="none"/>
          <w:lang w:val="en-US" w:eastAsia="zh-CN"/>
        </w:rPr>
        <w:t xml:space="preserve">等12个股室。事业单位包括： </w:t>
      </w:r>
      <w:r>
        <w:rPr>
          <w:rFonts w:hint="eastAsia" w:ascii="Times New Roman" w:hAnsi="Times New Roman" w:eastAsia="仿宋_GB2312" w:cs="Times New Roman"/>
          <w:color w:val="000000"/>
          <w:sz w:val="28"/>
          <w:szCs w:val="28"/>
          <w:highlight w:val="none"/>
        </w:rPr>
        <w:t>国库集中支付核算中心、乡镇财政服务中心、财政事务中心</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rPr>
        <w:t>政府集中采购中心</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rPr>
        <w:t>财政投资评审中心</w:t>
      </w:r>
      <w:r>
        <w:rPr>
          <w:rFonts w:hint="eastAsia" w:ascii="Times New Roman" w:hAnsi="Times New Roman" w:eastAsia="仿宋_GB2312" w:cs="Times New Roman"/>
          <w:color w:val="000000"/>
          <w:sz w:val="28"/>
          <w:szCs w:val="28"/>
          <w:highlight w:val="none"/>
          <w:lang w:eastAsia="zh-CN"/>
        </w:rPr>
        <w:t>、财政结算中心</w:t>
      </w:r>
      <w:r>
        <w:rPr>
          <w:rFonts w:hint="eastAsia" w:ascii="Times New Roman" w:hAnsi="Times New Roman" w:eastAsia="仿宋_GB2312" w:cs="Times New Roman"/>
          <w:color w:val="000000"/>
          <w:sz w:val="28"/>
          <w:szCs w:val="28"/>
          <w:highlight w:val="none"/>
        </w:rPr>
        <w:t>和</w:t>
      </w:r>
      <w:r>
        <w:rPr>
          <w:rFonts w:hint="eastAsia" w:ascii="Times New Roman" w:hAnsi="Times New Roman" w:eastAsia="仿宋_GB2312" w:cs="Times New Roman"/>
          <w:color w:val="000000"/>
          <w:sz w:val="28"/>
          <w:szCs w:val="28"/>
          <w:highlight w:val="none"/>
          <w:lang w:eastAsia="zh-CN"/>
        </w:rPr>
        <w:t>国资事务</w:t>
      </w:r>
      <w:r>
        <w:rPr>
          <w:rFonts w:hint="eastAsia" w:ascii="Times New Roman" w:hAnsi="Times New Roman" w:eastAsia="仿宋_GB2312" w:cs="Times New Roman"/>
          <w:color w:val="000000"/>
          <w:sz w:val="28"/>
          <w:szCs w:val="28"/>
          <w:highlight w:val="none"/>
        </w:rPr>
        <w:t>中心。</w:t>
      </w:r>
      <w:r>
        <w:rPr>
          <w:rFonts w:hint="eastAsia" w:ascii="Times New Roman" w:hAnsi="Times New Roman" w:eastAsia="仿宋_GB2312" w:cs="Times New Roman"/>
          <w:color w:val="000000"/>
          <w:sz w:val="28"/>
          <w:szCs w:val="28"/>
          <w:highlight w:val="none"/>
          <w:lang w:val="en-US" w:eastAsia="zh-CN"/>
        </w:rPr>
        <w:t xml:space="preserve">  </w:t>
      </w:r>
    </w:p>
    <w:p w14:paraId="00BE8BC0">
      <w:pPr>
        <w:pStyle w:val="14"/>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2024年底，我局共有全额拨款</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编制23名</w:t>
      </w:r>
      <w:r>
        <w:rPr>
          <w:rFonts w:hint="eastAsia" w:ascii="Times New Roman" w:hAnsi="Times New Roman" w:eastAsia="仿宋_GB2312" w:cs="Times New Roman"/>
          <w:color w:val="000000"/>
          <w:kern w:val="0"/>
          <w:sz w:val="28"/>
          <w:szCs w:val="28"/>
          <w:highlight w:val="none"/>
          <w:lang w:val="en-US" w:eastAsia="zh-CN" w:bidi="ar-SA"/>
        </w:rPr>
        <w:t>，在职人员23名，退休人员34名。</w:t>
      </w:r>
    </w:p>
    <w:p w14:paraId="03CD0046">
      <w:pPr>
        <w:spacing w:line="570" w:lineRule="atLeast"/>
        <w:ind w:firstLine="562" w:firstLineChars="200"/>
        <w:rPr>
          <w:rFonts w:hint="default" w:ascii="仿宋_GB2312" w:hAnsi="仿宋_GB2312" w:eastAsia="仿宋_GB2312" w:cs="仿宋_GB2312"/>
          <w:b/>
          <w:bCs/>
          <w:color w:val="000000"/>
          <w:sz w:val="28"/>
          <w:szCs w:val="28"/>
          <w:shd w:val="clear" w:color="auto" w:fill="FFFFFF"/>
          <w:lang w:val="en-US" w:eastAsia="zh-CN"/>
        </w:rPr>
      </w:pPr>
      <w:r>
        <w:rPr>
          <w:rFonts w:hint="eastAsia" w:ascii="仿宋_GB2312" w:hAnsi="仿宋_GB2312" w:eastAsia="仿宋_GB2312" w:cs="仿宋_GB2312"/>
          <w:b/>
          <w:bCs/>
          <w:color w:val="000000"/>
          <w:sz w:val="28"/>
          <w:szCs w:val="28"/>
          <w:shd w:val="clear" w:color="auto" w:fill="FFFFFF"/>
          <w:lang w:val="en-US" w:eastAsia="zh-CN"/>
        </w:rPr>
        <w:t>（三）单位绩效目标</w:t>
      </w:r>
    </w:p>
    <w:p w14:paraId="5E169FEE">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rPr>
          <w:rFonts w:hint="eastAsia"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知重负重、顶压奋进，财税质量有新提高；积极求为，精准助推，争资争项有新突破；攻坚克难、提速发力，财政改革取得新成效；积极探索，大力创新，“三资”改革获得新成绩；加强监督，促进规范，财政管理提升新绩效；凝心聚力，激发活力，队伍建设迈上新台阶。</w:t>
      </w:r>
      <w:r>
        <w:rPr>
          <w:rFonts w:hint="eastAsia" w:ascii="仿宋_GB2312" w:hAnsi="仿宋_GB2312" w:eastAsia="仿宋_GB2312" w:cs="仿宋_GB2312"/>
          <w:kern w:val="2"/>
          <w:sz w:val="32"/>
          <w:szCs w:val="32"/>
          <w:lang w:val="en-US" w:eastAsia="zh-CN" w:bidi="ar-SA"/>
        </w:rPr>
        <w:t xml:space="preserve"> </w:t>
      </w:r>
    </w:p>
    <w:p w14:paraId="2C686B5E">
      <w:pPr>
        <w:pStyle w:val="14"/>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二、</w:t>
      </w:r>
      <w:r>
        <w:rPr>
          <w:rFonts w:hint="default" w:ascii="Times New Roman" w:hAnsi="Times New Roman" w:eastAsia="黑体" w:cs="Times New Roman"/>
          <w:sz w:val="28"/>
          <w:szCs w:val="28"/>
          <w:highlight w:val="none"/>
        </w:rPr>
        <w:t>一般公共预算支出情况</w:t>
      </w:r>
    </w:p>
    <w:p w14:paraId="5BD0E3B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000000"/>
          <w:sz w:val="28"/>
          <w:szCs w:val="28"/>
          <w:highlight w:val="none"/>
          <w:lang w:val="en-US" w:eastAsia="zh-CN"/>
        </w:rPr>
        <w:t>2024年我局部门预算年初预算数872.27万元（基本支出400.92万元，项目支出471.35万元），全年预算数1204.39万元，实际支出1120.21万元，其中：基本支出726.64万元，项目支出293.57万元，预算执行率93.01%。</w:t>
      </w:r>
    </w:p>
    <w:p w14:paraId="731F0719">
      <w:pPr>
        <w:pStyle w:val="14"/>
        <w:keepNext w:val="0"/>
        <w:keepLines w:val="0"/>
        <w:pageBreakBefore w:val="0"/>
        <w:widowControl/>
        <w:kinsoku/>
        <w:wordWrap/>
        <w:overflowPunct/>
        <w:topLinePunct w:val="0"/>
        <w:autoSpaceDE/>
        <w:autoSpaceDN/>
        <w:bidi w:val="0"/>
        <w:adjustRightInd/>
        <w:snapToGrid/>
        <w:spacing w:line="640" w:lineRule="exact"/>
        <w:ind w:firstLine="562" w:firstLineChars="200"/>
        <w:jc w:val="both"/>
        <w:textAlignment w:val="auto"/>
        <w:rPr>
          <w:rFonts w:hint="default" w:ascii="Times New Roman" w:hAnsi="Times New Roman" w:eastAsia="楷体_GB2312" w:cs="Times New Roman"/>
          <w:b/>
          <w:sz w:val="28"/>
          <w:szCs w:val="28"/>
          <w:highlight w:val="none"/>
        </w:rPr>
      </w:pPr>
      <w:r>
        <w:rPr>
          <w:rFonts w:hint="default" w:ascii="Times New Roman" w:hAnsi="Times New Roman" w:eastAsia="楷体_GB2312" w:cs="Times New Roman"/>
          <w:b/>
          <w:sz w:val="28"/>
          <w:szCs w:val="28"/>
          <w:highlight w:val="none"/>
        </w:rPr>
        <w:t>（一）基本支出情况</w:t>
      </w:r>
    </w:p>
    <w:p w14:paraId="6826E9A7">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lang w:val="en-US" w:eastAsia="zh-CN"/>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49B553D9">
      <w:pPr>
        <w:pStyle w:val="14"/>
        <w:keepNext w:val="0"/>
        <w:keepLines w:val="0"/>
        <w:pageBreakBefore w:val="0"/>
        <w:widowControl/>
        <w:kinsoku/>
        <w:wordWrap/>
        <w:overflowPunct/>
        <w:topLinePunct w:val="0"/>
        <w:autoSpaceDE/>
        <w:autoSpaceDN/>
        <w:bidi w:val="0"/>
        <w:adjustRightInd/>
        <w:snapToGrid/>
        <w:spacing w:line="640" w:lineRule="exact"/>
        <w:ind w:firstLine="562" w:firstLineChars="200"/>
        <w:jc w:val="both"/>
        <w:textAlignment w:val="auto"/>
        <w:rPr>
          <w:rFonts w:hint="default" w:ascii="Times New Roman" w:hAnsi="Times New Roman" w:eastAsia="楷体_GB2312" w:cs="Times New Roman"/>
          <w:b/>
          <w:sz w:val="28"/>
          <w:szCs w:val="28"/>
          <w:highlight w:val="none"/>
        </w:rPr>
      </w:pPr>
      <w:r>
        <w:rPr>
          <w:rFonts w:hint="default" w:ascii="Times New Roman" w:hAnsi="Times New Roman" w:eastAsia="楷体_GB2312" w:cs="Times New Roman"/>
          <w:b/>
          <w:sz w:val="28"/>
          <w:szCs w:val="28"/>
          <w:highlight w:val="none"/>
        </w:rPr>
        <w:t>（二）项目支出情况</w:t>
      </w:r>
    </w:p>
    <w:p w14:paraId="0ABFBF7C">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000000"/>
          <w:sz w:val="28"/>
          <w:szCs w:val="28"/>
          <w:highlight w:val="none"/>
        </w:rPr>
        <w:t>项目支出是在基本支出之外为完成其特定工作任务而发生的支出，</w:t>
      </w:r>
      <w:r>
        <w:rPr>
          <w:rFonts w:hint="eastAsia" w:ascii="Times New Roman" w:hAnsi="Times New Roman" w:eastAsia="仿宋_GB2312" w:cs="Times New Roman"/>
          <w:color w:val="auto"/>
          <w:sz w:val="28"/>
          <w:szCs w:val="28"/>
          <w:highlight w:val="none"/>
          <w:lang w:eastAsia="zh-CN"/>
        </w:rPr>
        <w:t>主要是部门为完成特定行政工作任务或事业发展目标而发生的支出，包括预决算编制、财政监督、绩效评价、债务管理、政府采购、会计改革、财政业务培训、财政投资评审工作经费、政采云平台运维费、政府采购内网审批系统维护费、优化营商环境提升系统使用维护费、财政争资争项协</w:t>
      </w:r>
      <w:r>
        <w:rPr>
          <w:rFonts w:hint="eastAsia" w:ascii="Times New Roman" w:hAnsi="Times New Roman" w:eastAsia="仿宋_GB2312" w:cs="Times New Roman"/>
          <w:color w:val="auto"/>
          <w:sz w:val="28"/>
          <w:szCs w:val="28"/>
          <w:highlight w:val="none"/>
          <w:lang w:val="en-US" w:eastAsia="zh-CN"/>
        </w:rPr>
        <w:t>调</w:t>
      </w:r>
      <w:r>
        <w:rPr>
          <w:rFonts w:hint="eastAsia" w:ascii="Times New Roman" w:hAnsi="Times New Roman" w:eastAsia="仿宋_GB2312" w:cs="Times New Roman"/>
          <w:color w:val="auto"/>
          <w:sz w:val="28"/>
          <w:szCs w:val="28"/>
          <w:highlight w:val="none"/>
          <w:lang w:eastAsia="zh-CN"/>
        </w:rPr>
        <w:t>工作、信息化运维、机房设备续保、预算一体化会计核算系统、各预算单位及农行专线光纤租赁费用等财政业务工作经费</w:t>
      </w:r>
      <w:r>
        <w:rPr>
          <w:rFonts w:hint="eastAsia" w:ascii="Times New Roman" w:hAnsi="Times New Roman" w:eastAsia="仿宋_GB2312" w:cs="Times New Roman"/>
          <w:color w:val="auto"/>
          <w:sz w:val="28"/>
          <w:szCs w:val="28"/>
          <w:highlight w:val="none"/>
        </w:rPr>
        <w:t>支出</w:t>
      </w:r>
      <w:r>
        <w:rPr>
          <w:rFonts w:hint="eastAsia" w:ascii="Times New Roman" w:hAnsi="Times New Roman" w:eastAsia="仿宋_GB2312" w:cs="Times New Roman"/>
          <w:color w:val="auto"/>
          <w:sz w:val="28"/>
          <w:szCs w:val="28"/>
          <w:highlight w:val="none"/>
          <w:lang w:eastAsia="zh-CN"/>
        </w:rPr>
        <w:t>。</w:t>
      </w:r>
    </w:p>
    <w:p w14:paraId="510FE17F">
      <w:pPr>
        <w:pStyle w:val="14"/>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sz w:val="28"/>
          <w:szCs w:val="28"/>
          <w:highlight w:val="none"/>
          <w:lang w:eastAsia="zh-CN"/>
        </w:rPr>
        <w:t>三、</w:t>
      </w:r>
      <w:r>
        <w:rPr>
          <w:rFonts w:hint="default" w:ascii="Times New Roman" w:hAnsi="Times New Roman" w:eastAsia="黑体" w:cs="Times New Roman"/>
          <w:sz w:val="28"/>
          <w:szCs w:val="28"/>
          <w:highlight w:val="none"/>
        </w:rPr>
        <w:t>政府性基金预算支出情况</w:t>
      </w:r>
    </w:p>
    <w:p w14:paraId="13D13F3F">
      <w:pPr>
        <w:pStyle w:val="14"/>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我局无此项支出。</w:t>
      </w:r>
    </w:p>
    <w:p w14:paraId="3F1D25EF">
      <w:pPr>
        <w:pStyle w:val="14"/>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四、</w:t>
      </w:r>
      <w:r>
        <w:rPr>
          <w:rFonts w:hint="default" w:ascii="Times New Roman" w:hAnsi="Times New Roman" w:eastAsia="黑体" w:cs="Times New Roman"/>
          <w:sz w:val="28"/>
          <w:szCs w:val="28"/>
          <w:highlight w:val="none"/>
        </w:rPr>
        <w:t>国有资本经营预算支出情况</w:t>
      </w:r>
    </w:p>
    <w:p w14:paraId="61BF310B">
      <w:pPr>
        <w:pStyle w:val="14"/>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我局无此项支出。</w:t>
      </w:r>
    </w:p>
    <w:p w14:paraId="6549E4FA">
      <w:pPr>
        <w:pStyle w:val="14"/>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五、</w:t>
      </w:r>
      <w:r>
        <w:rPr>
          <w:rFonts w:hint="default" w:ascii="Times New Roman" w:hAnsi="Times New Roman" w:eastAsia="黑体" w:cs="Times New Roman"/>
          <w:sz w:val="28"/>
          <w:szCs w:val="28"/>
          <w:highlight w:val="none"/>
        </w:rPr>
        <w:t>社会保险基金预算支出情况</w:t>
      </w:r>
    </w:p>
    <w:p w14:paraId="2F8C5382">
      <w:pPr>
        <w:pStyle w:val="14"/>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我局无此项支出。</w:t>
      </w:r>
    </w:p>
    <w:p w14:paraId="4F6ADA36">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六、部门整体支出绩效情况</w:t>
      </w:r>
    </w:p>
    <w:p w14:paraId="3A361DAC">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202</w:t>
      </w:r>
      <w:r>
        <w:rPr>
          <w:rFonts w:hint="eastAsia" w:ascii="Times New Roman" w:hAnsi="Times New Roman" w:eastAsia="仿宋_GB2312" w:cs="Times New Roman"/>
          <w:color w:val="000000"/>
          <w:sz w:val="28"/>
          <w:szCs w:val="28"/>
          <w:highlight w:val="none"/>
          <w:lang w:val="en-US" w:eastAsia="zh-CN"/>
        </w:rPr>
        <w:t>4</w:t>
      </w:r>
      <w:r>
        <w:rPr>
          <w:rFonts w:hint="default" w:ascii="Times New Roman" w:hAnsi="Times New Roman" w:eastAsia="仿宋_GB2312" w:cs="Times New Roman"/>
          <w:color w:val="000000"/>
          <w:sz w:val="28"/>
          <w:szCs w:val="28"/>
          <w:highlight w:val="none"/>
          <w:lang w:val="en-US" w:eastAsia="zh-CN"/>
        </w:rPr>
        <w:t>年，我</w:t>
      </w:r>
      <w:r>
        <w:rPr>
          <w:rFonts w:hint="eastAsia" w:ascii="Times New Roman" w:hAnsi="Times New Roman" w:eastAsia="仿宋_GB2312" w:cs="Times New Roman"/>
          <w:color w:val="000000"/>
          <w:sz w:val="28"/>
          <w:szCs w:val="28"/>
          <w:highlight w:val="none"/>
          <w:lang w:val="en-US" w:eastAsia="zh-CN"/>
        </w:rPr>
        <w:t>局</w:t>
      </w:r>
      <w:r>
        <w:rPr>
          <w:rFonts w:hint="default" w:ascii="Times New Roman" w:hAnsi="Times New Roman" w:eastAsia="仿宋_GB2312" w:cs="Times New Roman"/>
          <w:color w:val="000000"/>
          <w:sz w:val="28"/>
          <w:szCs w:val="28"/>
          <w:highlight w:val="none"/>
          <w:lang w:val="en-US" w:eastAsia="zh-CN"/>
        </w:rPr>
        <w:t>积极履职，资金管理规范，</w:t>
      </w:r>
      <w:r>
        <w:rPr>
          <w:rFonts w:hint="eastAsia" w:ascii="Times New Roman" w:hAnsi="Times New Roman" w:eastAsia="仿宋_GB2312" w:cs="Times New Roman"/>
          <w:color w:val="000000"/>
          <w:sz w:val="28"/>
          <w:szCs w:val="28"/>
          <w:highlight w:val="none"/>
          <w:lang w:val="en-US" w:eastAsia="zh-CN"/>
        </w:rPr>
        <w:t>资产</w:t>
      </w:r>
      <w:r>
        <w:rPr>
          <w:rFonts w:hint="default" w:ascii="Times New Roman" w:hAnsi="Times New Roman" w:eastAsia="仿宋_GB2312" w:cs="Times New Roman"/>
          <w:color w:val="000000"/>
          <w:sz w:val="28"/>
          <w:szCs w:val="28"/>
          <w:highlight w:val="none"/>
          <w:lang w:val="en-US" w:eastAsia="zh-CN"/>
        </w:rPr>
        <w:t>管理到位，政策执行有力，较好地完成了年度工作目标，有效发挥了财政资金的使用效率。在人员经费支出上</w:t>
      </w:r>
      <w:r>
        <w:rPr>
          <w:rFonts w:hint="eastAsia"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严格执行上级的各项制度</w:t>
      </w:r>
      <w:r>
        <w:rPr>
          <w:rFonts w:hint="eastAsia"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在</w:t>
      </w:r>
      <w:r>
        <w:rPr>
          <w:rFonts w:hint="eastAsia" w:ascii="Times New Roman" w:hAnsi="Times New Roman" w:eastAsia="仿宋_GB2312" w:cs="Times New Roman"/>
          <w:color w:val="000000"/>
          <w:sz w:val="28"/>
          <w:szCs w:val="28"/>
          <w:highlight w:val="none"/>
          <w:lang w:val="en-US" w:eastAsia="zh-CN"/>
        </w:rPr>
        <w:t>公用</w:t>
      </w:r>
      <w:r>
        <w:rPr>
          <w:rFonts w:hint="default" w:ascii="Times New Roman" w:hAnsi="Times New Roman" w:eastAsia="仿宋_GB2312" w:cs="Times New Roman"/>
          <w:color w:val="000000"/>
          <w:sz w:val="28"/>
          <w:szCs w:val="28"/>
          <w:highlight w:val="none"/>
          <w:lang w:val="en-US" w:eastAsia="zh-CN"/>
        </w:rPr>
        <w:t>经费使用上，</w:t>
      </w:r>
      <w:r>
        <w:rPr>
          <w:rFonts w:hint="eastAsia" w:ascii="Times New Roman" w:hAnsi="Times New Roman" w:eastAsia="仿宋_GB2312" w:cs="Times New Roman"/>
          <w:color w:val="000000"/>
          <w:sz w:val="28"/>
          <w:szCs w:val="28"/>
          <w:highlight w:val="none"/>
          <w:lang w:val="en-US" w:eastAsia="zh-CN"/>
        </w:rPr>
        <w:t>严格执行预算；在</w:t>
      </w:r>
      <w:r>
        <w:rPr>
          <w:rFonts w:hint="default" w:ascii="Times New Roman" w:hAnsi="Times New Roman" w:eastAsia="仿宋_GB2312" w:cs="Times New Roman"/>
          <w:color w:val="000000"/>
          <w:sz w:val="28"/>
          <w:szCs w:val="28"/>
          <w:highlight w:val="none"/>
          <w:lang w:val="en-US" w:eastAsia="zh-CN"/>
        </w:rPr>
        <w:t>“三公”经费</w:t>
      </w:r>
      <w:r>
        <w:rPr>
          <w:rFonts w:hint="eastAsia" w:ascii="Times New Roman" w:hAnsi="Times New Roman" w:eastAsia="仿宋_GB2312" w:cs="Times New Roman"/>
          <w:color w:val="000000"/>
          <w:sz w:val="28"/>
          <w:szCs w:val="28"/>
          <w:highlight w:val="none"/>
          <w:lang w:val="en-US" w:eastAsia="zh-CN"/>
        </w:rPr>
        <w:t>开支上，</w:t>
      </w:r>
      <w:r>
        <w:rPr>
          <w:rFonts w:hint="default" w:ascii="Times New Roman" w:hAnsi="Times New Roman" w:eastAsia="仿宋_GB2312" w:cs="Times New Roman"/>
          <w:color w:val="000000"/>
          <w:sz w:val="28"/>
          <w:szCs w:val="28"/>
          <w:highlight w:val="none"/>
          <w:lang w:val="en-US" w:eastAsia="zh-CN"/>
        </w:rPr>
        <w:t>厉行节约，从严控制，202</w:t>
      </w:r>
      <w:r>
        <w:rPr>
          <w:rFonts w:hint="eastAsia" w:ascii="Times New Roman" w:hAnsi="Times New Roman" w:eastAsia="仿宋_GB2312" w:cs="Times New Roman"/>
          <w:color w:val="000000"/>
          <w:sz w:val="28"/>
          <w:szCs w:val="28"/>
          <w:highlight w:val="none"/>
          <w:lang w:val="en-US" w:eastAsia="zh-CN"/>
        </w:rPr>
        <w:t>4</w:t>
      </w:r>
      <w:r>
        <w:rPr>
          <w:rFonts w:hint="default" w:ascii="Times New Roman" w:hAnsi="Times New Roman" w:eastAsia="仿宋_GB2312" w:cs="Times New Roman"/>
          <w:color w:val="000000"/>
          <w:sz w:val="28"/>
          <w:szCs w:val="28"/>
          <w:highlight w:val="none"/>
          <w:lang w:val="en-US" w:eastAsia="zh-CN"/>
        </w:rPr>
        <w:t>年度一般公共预算</w:t>
      </w:r>
      <w:r>
        <w:rPr>
          <w:rFonts w:hint="eastAsia" w:ascii="Times New Roman" w:hAnsi="Times New Roman" w:eastAsia="仿宋_GB2312" w:cs="Times New Roman"/>
          <w:color w:val="000000"/>
          <w:sz w:val="28"/>
          <w:szCs w:val="28"/>
          <w:highlight w:val="none"/>
          <w:lang w:val="en-US" w:eastAsia="zh-CN"/>
        </w:rPr>
        <w:t>拨</w:t>
      </w:r>
      <w:r>
        <w:rPr>
          <w:rFonts w:hint="default" w:ascii="Times New Roman" w:hAnsi="Times New Roman" w:eastAsia="仿宋_GB2312" w:cs="Times New Roman"/>
          <w:color w:val="000000"/>
          <w:sz w:val="28"/>
          <w:szCs w:val="28"/>
          <w:highlight w:val="none"/>
          <w:lang w:val="en-US" w:eastAsia="zh-CN"/>
        </w:rPr>
        <w:t>款中“三公经费”年初预算</w:t>
      </w:r>
      <w:r>
        <w:rPr>
          <w:rFonts w:hint="eastAsia" w:ascii="Times New Roman" w:hAnsi="Times New Roman" w:eastAsia="仿宋_GB2312" w:cs="Times New Roman"/>
          <w:color w:val="000000"/>
          <w:sz w:val="28"/>
          <w:szCs w:val="28"/>
          <w:highlight w:val="none"/>
          <w:lang w:val="en-US" w:eastAsia="zh-CN"/>
        </w:rPr>
        <w:t>2</w:t>
      </w:r>
      <w:r>
        <w:rPr>
          <w:rFonts w:hint="default" w:ascii="Times New Roman" w:hAnsi="Times New Roman" w:eastAsia="仿宋_GB2312" w:cs="Times New Roman"/>
          <w:color w:val="000000"/>
          <w:sz w:val="28"/>
          <w:szCs w:val="28"/>
          <w:highlight w:val="none"/>
          <w:lang w:val="en-US" w:eastAsia="zh-CN"/>
        </w:rPr>
        <w:t>万元，实际支出</w:t>
      </w:r>
      <w:r>
        <w:rPr>
          <w:rFonts w:hint="eastAsia" w:ascii="Times New Roman" w:hAnsi="Times New Roman" w:eastAsia="仿宋_GB2312" w:cs="Times New Roman"/>
          <w:color w:val="000000"/>
          <w:sz w:val="28"/>
          <w:szCs w:val="28"/>
          <w:highlight w:val="none"/>
          <w:lang w:val="en-US" w:eastAsia="zh-CN"/>
        </w:rPr>
        <w:t>0.68</w:t>
      </w:r>
      <w:r>
        <w:rPr>
          <w:rFonts w:hint="default" w:ascii="Times New Roman" w:hAnsi="Times New Roman" w:eastAsia="仿宋_GB2312" w:cs="Times New Roman"/>
          <w:color w:val="000000"/>
          <w:sz w:val="28"/>
          <w:szCs w:val="28"/>
          <w:highlight w:val="none"/>
          <w:lang w:val="en-US" w:eastAsia="zh-CN"/>
        </w:rPr>
        <w:t>万元，为年初预算的</w:t>
      </w:r>
      <w:r>
        <w:rPr>
          <w:rFonts w:hint="eastAsia" w:ascii="Times New Roman" w:hAnsi="Times New Roman" w:eastAsia="仿宋_GB2312" w:cs="Times New Roman"/>
          <w:color w:val="000000"/>
          <w:sz w:val="28"/>
          <w:szCs w:val="28"/>
          <w:highlight w:val="none"/>
          <w:lang w:val="en-US" w:eastAsia="zh-CN"/>
        </w:rPr>
        <w:t>34</w:t>
      </w:r>
      <w:r>
        <w:rPr>
          <w:rFonts w:hint="default" w:ascii="Times New Roman" w:hAnsi="Times New Roman" w:eastAsia="仿宋_GB2312" w:cs="Times New Roman"/>
          <w:color w:val="000000"/>
          <w:sz w:val="28"/>
          <w:szCs w:val="28"/>
          <w:highlight w:val="none"/>
          <w:lang w:val="en-US" w:eastAsia="zh-CN"/>
        </w:rPr>
        <w:t>%。根据《部门整体支出绩效自评表》自评得分</w:t>
      </w:r>
      <w:r>
        <w:rPr>
          <w:rFonts w:hint="eastAsia" w:ascii="Times New Roman" w:hAnsi="Times New Roman" w:eastAsia="仿宋_GB2312" w:cs="Times New Roman"/>
          <w:color w:val="000000"/>
          <w:sz w:val="28"/>
          <w:szCs w:val="28"/>
          <w:highlight w:val="none"/>
          <w:lang w:val="en-US" w:eastAsia="zh-CN"/>
        </w:rPr>
        <w:t>99.3</w:t>
      </w:r>
      <w:r>
        <w:rPr>
          <w:rFonts w:hint="default" w:ascii="Times New Roman" w:hAnsi="Times New Roman" w:eastAsia="仿宋_GB2312" w:cs="Times New Roman"/>
          <w:color w:val="000000"/>
          <w:sz w:val="28"/>
          <w:szCs w:val="28"/>
          <w:highlight w:val="none"/>
          <w:lang w:val="en-US" w:eastAsia="zh-CN"/>
        </w:rPr>
        <w:t>分(详见附表2)，部门整体支出绩效为“优”</w:t>
      </w:r>
      <w:r>
        <w:rPr>
          <w:rFonts w:hint="eastAsia" w:ascii="Times New Roman" w:hAnsi="Times New Roman" w:eastAsia="仿宋_GB2312" w:cs="Times New Roman"/>
          <w:color w:val="000000"/>
          <w:sz w:val="28"/>
          <w:szCs w:val="28"/>
          <w:highlight w:val="none"/>
          <w:lang w:val="en-US" w:eastAsia="zh-CN"/>
        </w:rPr>
        <w:t>。</w:t>
      </w:r>
    </w:p>
    <w:p w14:paraId="60E52578">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（一）预算财务管理方面</w:t>
      </w:r>
    </w:p>
    <w:p w14:paraId="3FA31630">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1、严格执行预算管理制度，切实降低运行成本。2024年，我局严格预算管理，科学安排支出，实时把握支出进度，不断提高资金使用效益，始终贯穿“紧日子”思想，建立健全了收入、支出、政府采购、资产管理以及公务接待、差旅费、食堂管理制度等财务管理制度，对公务租车、公务出差、公务接待、党建活动经费、培训费、会议费等实行事前审批制度，严格控制各项支出，有效杜绝了资金浪费现象，确保了资金使用的规范性、安全性和有效性，预算执行率达到93%以上，切实降低运行成本，发挥了财政资金的最大效益。</w:t>
      </w:r>
    </w:p>
    <w:p w14:paraId="4C8F700D">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2、加强资产管理，确保资产保值增值。为了规范和加强我局国有资产管理，推动资产管理与预算管理和财务管理相结合，提高国有资产使用效益、防止资产流失，我局根据资产管理相关规定，对全局及二级机构开展资产清查工作，严格按程序报损报废固定资产一批，固定资产做到账实相符，账账相符。根据政府采购和资产管理要求，建立了资产实物管理台账，根据各股室的需求制订了采购计划，按国有资产配置、政府采购和有关规定按程序在电子卖场进行采购活动。涉秘资产的采购，严格按《涉秘政府采购管理暂行办法》和上级要求进行采购管理。2024年底，我局固定资产原值410.7万元，净值92.92万元，无形资产原值2.42万元，净值1.01万元。</w:t>
      </w:r>
    </w:p>
    <w:p w14:paraId="2F34F998">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（二）履职产出效益方面</w:t>
      </w:r>
    </w:p>
    <w:p w14:paraId="2F1363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1、组织收入积极有为。一是千方百计稳住收入盘子。区财税部门协调联动，加强经济运行分析研判，坚持依法征收、应收尽收，规范非税收入管理，全年财政收入保持了稳定增长，完成一般公共预算收入5.65亿元，占预算的102.23%，增长11.86%。其中：地方税收收入3.94亿元，占预算的100.45%；非税收入1.71亿元，占预算的106.62%。税比70%。一般预算支出完成26.28亿元。二是多措并举争资争项。把握政策导向，积极争取上级资金。全年争取上级资金 13.97亿元元，其中：财力性转移支付资金5.29亿元；项目类资金8.31亿元，一般债券资金0.36亿元。三是有力推进“三资”盘活。规范农垦国有农用地管理，做活特许经营权，盘活闲置存量资产，推进国企业改革。高效盘活资产资源总量7.94亿元，形成上缴国库收入4.36亿元。</w:t>
      </w:r>
    </w:p>
    <w:p w14:paraId="29B855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2、支出结构持续优化。一是坚持统筹兼顾，切实兜牢“三保”支出。从严从紧科学编制预算，坚持“三保”支出优先安排。二是坚决落实过紧日子要求。出台并印发了贯彻落实“过紧日子”要求的实施方案，大力压减机关事业单位“三公”经费等一般性支出6100万元，集中财力保障中央、省、市和区委重大政策落实。三是坚持惠农惠民。全面落实中</w:t>
      </w:r>
      <w:r>
        <w:rPr>
          <w:rFonts w:hint="eastAsia" w:ascii="Times New Roman" w:hAnsi="Times New Roman" w:eastAsia="仿宋_GB2312" w:cs="Times New Roman"/>
          <w:color w:val="000000"/>
          <w:sz w:val="28"/>
          <w:szCs w:val="28"/>
          <w:highlight w:val="none"/>
          <w:lang w:val="en" w:eastAsia="zh-CN"/>
        </w:rPr>
        <w:t>央、</w:t>
      </w:r>
      <w:r>
        <w:rPr>
          <w:rFonts w:hint="eastAsia" w:ascii="Times New Roman" w:hAnsi="Times New Roman" w:eastAsia="仿宋_GB2312" w:cs="Times New Roman"/>
          <w:color w:val="000000"/>
          <w:sz w:val="28"/>
          <w:szCs w:val="28"/>
          <w:highlight w:val="none"/>
          <w:lang w:val="en-US" w:eastAsia="zh-CN"/>
        </w:rPr>
        <w:t>省</w:t>
      </w:r>
      <w:r>
        <w:rPr>
          <w:rFonts w:hint="eastAsia" w:ascii="Times New Roman" w:hAnsi="Times New Roman" w:eastAsia="仿宋_GB2312" w:cs="Times New Roman"/>
          <w:color w:val="000000"/>
          <w:sz w:val="28"/>
          <w:szCs w:val="28"/>
          <w:highlight w:val="none"/>
          <w:lang w:val="en" w:eastAsia="zh-CN"/>
        </w:rPr>
        <w:t>、</w:t>
      </w:r>
      <w:r>
        <w:rPr>
          <w:rFonts w:hint="eastAsia" w:ascii="Times New Roman" w:hAnsi="Times New Roman" w:eastAsia="仿宋_GB2312" w:cs="Times New Roman"/>
          <w:color w:val="000000"/>
          <w:sz w:val="28"/>
          <w:szCs w:val="28"/>
          <w:highlight w:val="none"/>
          <w:lang w:val="en-US" w:eastAsia="zh-CN"/>
        </w:rPr>
        <w:t>市各项民生政策，全区民生支出</w:t>
      </w:r>
      <w:r>
        <w:rPr>
          <w:rFonts w:hint="eastAsia" w:ascii="Times New Roman" w:hAnsi="Times New Roman" w:eastAsia="仿宋_GB2312" w:cs="Times New Roman"/>
          <w:color w:val="000000"/>
          <w:sz w:val="28"/>
          <w:szCs w:val="28"/>
          <w:highlight w:val="none"/>
          <w:lang w:val="en" w:eastAsia="zh-CN"/>
        </w:rPr>
        <w:t>2</w:t>
      </w:r>
      <w:r>
        <w:rPr>
          <w:rFonts w:hint="eastAsia" w:ascii="Times New Roman" w:hAnsi="Times New Roman" w:eastAsia="仿宋_GB2312" w:cs="Times New Roman"/>
          <w:color w:val="000000"/>
          <w:sz w:val="28"/>
          <w:szCs w:val="28"/>
          <w:highlight w:val="none"/>
          <w:lang w:val="en-US" w:eastAsia="zh-CN"/>
        </w:rPr>
        <w:t>1.27亿元，占财政支出的80.94%，社会保障水平稳步提升。</w:t>
      </w:r>
    </w:p>
    <w:p w14:paraId="6E134B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3、财政管理提质增效。一是投资评审持续推进。</w:t>
      </w:r>
      <w:r>
        <w:rPr>
          <w:rFonts w:hint="eastAsia" w:ascii="Times New Roman" w:hAnsi="Times New Roman" w:eastAsia="仿宋_GB2312" w:cs="Times New Roman"/>
          <w:color w:val="000000"/>
          <w:sz w:val="28"/>
          <w:szCs w:val="28"/>
          <w:highlight w:val="none"/>
          <w:lang w:val="en" w:eastAsia="zh-CN"/>
        </w:rPr>
        <w:t>2</w:t>
      </w:r>
      <w:r>
        <w:rPr>
          <w:rFonts w:hint="eastAsia" w:ascii="Times New Roman" w:hAnsi="Times New Roman" w:eastAsia="仿宋_GB2312" w:cs="Times New Roman"/>
          <w:color w:val="000000"/>
          <w:sz w:val="28"/>
          <w:szCs w:val="28"/>
          <w:highlight w:val="none"/>
          <w:lang w:val="en-US" w:eastAsia="zh-CN"/>
        </w:rPr>
        <w:t>024年共完成项目评审326个，送审金额15.64亿元，审定金额14.36亿元，审减金额1.28亿元。二是政府采购坚实有效。共完成采购项目128个，预算金额1.72亿元，中标金额1.69亿元，节约财政资金340.98万元，资金节约率</w:t>
      </w:r>
      <w:r>
        <w:rPr>
          <w:rFonts w:hint="eastAsia" w:ascii="Times New Roman" w:hAnsi="Times New Roman" w:eastAsia="仿宋_GB2312" w:cs="Times New Roman"/>
          <w:color w:val="auto"/>
          <w:sz w:val="28"/>
          <w:szCs w:val="28"/>
          <w:highlight w:val="none"/>
          <w:lang w:val="en" w:eastAsia="zh-CN"/>
        </w:rPr>
        <w:t>2</w:t>
      </w:r>
      <w:r>
        <w:rPr>
          <w:rFonts w:hint="eastAsia" w:ascii="Times New Roman" w:hAnsi="Times New Roman" w:eastAsia="仿宋_GB2312" w:cs="Times New Roman"/>
          <w:color w:val="000000"/>
          <w:sz w:val="28"/>
          <w:szCs w:val="28"/>
          <w:highlight w:val="none"/>
          <w:lang w:val="en-US" w:eastAsia="zh-CN"/>
        </w:rPr>
        <w:t>%；电子卖场入驻预算单位145家，完总订单数13235件，采购金额2.75亿元。三是绩效管理全面实施。开展重点支出项目评价，树立“花钱要问效，无效要问责”的绩效管理理念，把事前、事中、事后绩效管理实质性嵌入政策决策和管理全过程。</w:t>
      </w:r>
    </w:p>
    <w:p w14:paraId="4BE778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4、风险防控抗压前行。一是强化库款调度。按照轻重缓急，优化库款保障序列，加强库款日常监管。二是债务率进一步下降。我区2023年年底债务率较2022年下降了12个百分点。三是积极偿还债务。加强债务风险预警工作，细化风险防控措施，2024年完成隐性债务化解任务2.84亿元。</w:t>
      </w:r>
    </w:p>
    <w:p w14:paraId="266F46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5、财会监督得到加强。一是</w:t>
      </w:r>
      <w:r>
        <w:rPr>
          <w:rFonts w:hint="eastAsia" w:ascii="Times New Roman" w:hAnsi="Times New Roman" w:eastAsia="仿宋_GB2312" w:cs="Times New Roman"/>
          <w:color w:val="000000"/>
          <w:sz w:val="28"/>
          <w:szCs w:val="28"/>
          <w:highlight w:val="none"/>
          <w:lang w:val="en-US" w:eastAsia="zh-Hans"/>
        </w:rPr>
        <w:t>加强</w:t>
      </w:r>
      <w:r>
        <w:rPr>
          <w:rFonts w:hint="eastAsia" w:ascii="Times New Roman" w:hAnsi="Times New Roman" w:eastAsia="仿宋_GB2312" w:cs="Times New Roman"/>
          <w:color w:val="000000"/>
          <w:sz w:val="28"/>
          <w:szCs w:val="28"/>
          <w:highlight w:val="none"/>
          <w:lang w:val="en-US" w:eastAsia="zh-CN"/>
        </w:rPr>
        <w:t>财会监督。全年开展财经纪律重点问题专项整治、预决算公开等财政检查14次，迎接省市财政专项督查检查3次。二是加强镇村财务监管。全区村级债务总体规模由3.45亿降低到1.68亿，下降了51.3%，乡镇财政财务规范化管理水平进一步提升。三是建立问题线索移送机制和财会监督报告制度。向区纪委监委移交问题线索，坚决纠正不合理不合规支出，确保财经纪律红线不踩、底线不碰。</w:t>
      </w:r>
    </w:p>
    <w:p w14:paraId="06E894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6、队伍建设稳步推进。一是抓责任落实。二是抓意识形态工作。三是抓作风建设。四是抓学习培训。在业务培训上，开展了惠农补贴政策等财政业务学习讲座，提高了业务素质，提升了财政管理水平。</w:t>
      </w:r>
    </w:p>
    <w:p w14:paraId="1D72405B">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rPr>
        <w:t>202</w:t>
      </w:r>
      <w:r>
        <w:rPr>
          <w:rFonts w:hint="eastAsia" w:ascii="Times New Roman" w:hAnsi="Times New Roman" w:eastAsia="仿宋_GB2312" w:cs="Times New Roman"/>
          <w:color w:val="000000"/>
          <w:sz w:val="28"/>
          <w:szCs w:val="28"/>
          <w:highlight w:val="none"/>
          <w:lang w:val="en-US" w:eastAsia="zh-CN"/>
        </w:rPr>
        <w:t>4</w:t>
      </w:r>
      <w:r>
        <w:rPr>
          <w:rFonts w:hint="eastAsia" w:ascii="Times New Roman" w:hAnsi="Times New Roman" w:eastAsia="仿宋_GB2312" w:cs="Times New Roman"/>
          <w:color w:val="000000"/>
          <w:sz w:val="28"/>
          <w:szCs w:val="28"/>
          <w:highlight w:val="none"/>
        </w:rPr>
        <w:t>年</w:t>
      </w:r>
      <w:r>
        <w:rPr>
          <w:rFonts w:hint="eastAsia" w:ascii="Times New Roman" w:hAnsi="Times New Roman" w:eastAsia="仿宋_GB2312" w:cs="Times New Roman"/>
          <w:color w:val="000000"/>
          <w:kern w:val="0"/>
          <w:sz w:val="28"/>
          <w:szCs w:val="28"/>
          <w:highlight w:val="none"/>
          <w:lang w:val="en-US" w:eastAsia="zh-CN" w:bidi="ar-SA"/>
        </w:rPr>
        <w:t>经济下行压力大，各种矛盾和困难相互交织叠加，面对复杂严峻的经济形势和艰巨繁重的改革发展任务，区财政攻坚克难，真抓实干，强化使命担当，目标任务完成情况好于预期、好于前期，财政整体和核心业务</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基本</w:t>
      </w:r>
      <w:r>
        <w:rPr>
          <w:rFonts w:hint="eastAsia" w:ascii="Times New Roman" w:hAnsi="Times New Roman" w:eastAsia="仿宋_GB2312" w:cs="Times New Roman"/>
          <w:color w:val="000000"/>
          <w:kern w:val="0"/>
          <w:sz w:val="28"/>
          <w:szCs w:val="28"/>
          <w:highlight w:val="none"/>
          <w:lang w:val="en-US" w:eastAsia="zh-CN" w:bidi="ar-SA"/>
        </w:rPr>
        <w:t>完成，取得良好的社会效应</w:t>
      </w:r>
      <w:r>
        <w:rPr>
          <w:rFonts w:hint="eastAsia" w:ascii="Times New Roman" w:hAnsi="Times New Roman" w:eastAsia="仿宋_GB2312" w:cs="Times New Roman"/>
          <w:color w:val="000000"/>
          <w:sz w:val="28"/>
          <w:szCs w:val="28"/>
          <w:highlight w:val="none"/>
          <w:lang w:val="en-US" w:eastAsia="zh-CN"/>
        </w:rPr>
        <w:t>，可持续发展能力强劲</w:t>
      </w:r>
      <w:r>
        <w:rPr>
          <w:rFonts w:hint="eastAsia" w:ascii="Times New Roman" w:hAnsi="Times New Roman" w:eastAsia="仿宋_GB2312" w:cs="Times New Roman"/>
          <w:color w:val="000000"/>
          <w:kern w:val="0"/>
          <w:sz w:val="28"/>
          <w:szCs w:val="28"/>
          <w:highlight w:val="none"/>
          <w:lang w:val="en-US" w:eastAsia="zh-CN" w:bidi="ar-SA"/>
        </w:rPr>
        <w:t>，服</w:t>
      </w:r>
      <w:r>
        <w:rPr>
          <w:rFonts w:hint="eastAsia" w:ascii="Times New Roman" w:hAnsi="Times New Roman" w:eastAsia="仿宋_GB2312" w:cs="Times New Roman"/>
          <w:color w:val="000000"/>
          <w:sz w:val="28"/>
          <w:szCs w:val="28"/>
          <w:highlight w:val="none"/>
          <w:lang w:val="en-US" w:eastAsia="zh-CN"/>
        </w:rPr>
        <w:t>务对象满意度较高。</w:t>
      </w:r>
    </w:p>
    <w:p w14:paraId="3555F94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七、</w:t>
      </w:r>
      <w:r>
        <w:rPr>
          <w:rFonts w:hint="default" w:ascii="Times New Roman" w:hAnsi="Times New Roman" w:eastAsia="黑体" w:cs="Times New Roman"/>
          <w:sz w:val="28"/>
          <w:szCs w:val="28"/>
          <w:highlight w:val="none"/>
          <w:lang w:val="en-US" w:eastAsia="zh-CN"/>
        </w:rPr>
        <w:t>存在的问题及原因分析</w:t>
      </w:r>
    </w:p>
    <w:p w14:paraId="73A9CCC5">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一）预算绩效管理意识有待进一步加强，预算绩效管理的工作方法方式有待创新。预算绩效管理工作贯穿全年，与各部门、各个业务股室息息相关，由于对预算绩效管理的全面性和重要性缺乏深入的了解，统揽全局的意识有所欠缺，导致预算绩效管理工作在推动过程中能够很好地完成各项工作任务，但工作质量难以实现质的飞跃。</w:t>
      </w:r>
    </w:p>
    <w:p w14:paraId="1686B3BD">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（二）</w:t>
      </w:r>
      <w:r>
        <w:rPr>
          <w:rFonts w:hint="eastAsia" w:ascii="Times New Roman" w:hAnsi="Times New Roman" w:eastAsia="仿宋_GB2312" w:cs="Times New Roman"/>
          <w:color w:val="000000"/>
          <w:sz w:val="28"/>
          <w:szCs w:val="28"/>
          <w:highlight w:val="none"/>
        </w:rPr>
        <w:t>绩效</w:t>
      </w:r>
      <w:r>
        <w:rPr>
          <w:rFonts w:hint="eastAsia" w:ascii="Times New Roman" w:hAnsi="Times New Roman" w:eastAsia="仿宋_GB2312" w:cs="Times New Roman"/>
          <w:color w:val="000000"/>
          <w:sz w:val="28"/>
          <w:szCs w:val="28"/>
          <w:highlight w:val="none"/>
          <w:lang w:eastAsia="zh-CN"/>
        </w:rPr>
        <w:t>评价结果的运用有待进一步提升。</w:t>
      </w:r>
      <w:r>
        <w:rPr>
          <w:rFonts w:hint="eastAsia" w:ascii="Times New Roman" w:hAnsi="Times New Roman" w:eastAsia="仿宋_GB2312" w:cs="Times New Roman"/>
          <w:color w:val="000000"/>
          <w:sz w:val="28"/>
          <w:szCs w:val="28"/>
          <w:highlight w:val="none"/>
        </w:rPr>
        <w:t>通过对202</w:t>
      </w:r>
      <w:r>
        <w:rPr>
          <w:rFonts w:hint="eastAsia" w:ascii="Times New Roman" w:hAnsi="Times New Roman" w:eastAsia="仿宋_GB2312" w:cs="Times New Roman"/>
          <w:color w:val="000000"/>
          <w:sz w:val="28"/>
          <w:szCs w:val="28"/>
          <w:highlight w:val="none"/>
          <w:lang w:val="en-US" w:eastAsia="zh-CN"/>
        </w:rPr>
        <w:t>4</w:t>
      </w:r>
      <w:r>
        <w:rPr>
          <w:rFonts w:hint="eastAsia" w:ascii="Times New Roman" w:hAnsi="Times New Roman" w:eastAsia="仿宋_GB2312" w:cs="Times New Roman"/>
          <w:color w:val="000000"/>
          <w:sz w:val="28"/>
          <w:szCs w:val="28"/>
          <w:highlight w:val="none"/>
        </w:rPr>
        <w:t>年度部门</w:t>
      </w:r>
      <w:r>
        <w:rPr>
          <w:rFonts w:hint="eastAsia" w:ascii="Times New Roman" w:hAnsi="Times New Roman" w:eastAsia="仿宋_GB2312" w:cs="Times New Roman"/>
          <w:color w:val="000000"/>
          <w:sz w:val="28"/>
          <w:szCs w:val="28"/>
          <w:highlight w:val="none"/>
          <w:lang w:eastAsia="zh-CN"/>
        </w:rPr>
        <w:t>整体</w:t>
      </w:r>
      <w:r>
        <w:rPr>
          <w:rFonts w:hint="eastAsia" w:ascii="Times New Roman" w:hAnsi="Times New Roman" w:eastAsia="仿宋_GB2312" w:cs="Times New Roman"/>
          <w:color w:val="000000"/>
          <w:sz w:val="28"/>
          <w:szCs w:val="28"/>
          <w:highlight w:val="none"/>
        </w:rPr>
        <w:t>支出绩效自评，我们认识到</w:t>
      </w:r>
      <w:r>
        <w:rPr>
          <w:rFonts w:hint="eastAsia" w:ascii="Times New Roman" w:hAnsi="Times New Roman" w:eastAsia="仿宋_GB2312" w:cs="Times New Roman"/>
          <w:color w:val="000000"/>
          <w:sz w:val="28"/>
          <w:szCs w:val="28"/>
          <w:highlight w:val="none"/>
          <w:lang w:eastAsia="zh-CN"/>
        </w:rPr>
        <w:t>：绩效目标的制定应更贴切财政业务工作；</w:t>
      </w:r>
      <w:r>
        <w:rPr>
          <w:rFonts w:hint="eastAsia" w:ascii="Times New Roman" w:hAnsi="Times New Roman" w:eastAsia="仿宋_GB2312" w:cs="Times New Roman"/>
          <w:color w:val="000000"/>
          <w:sz w:val="28"/>
          <w:szCs w:val="28"/>
          <w:highlight w:val="none"/>
        </w:rPr>
        <w:t>绩效管理理念</w:t>
      </w:r>
      <w:r>
        <w:rPr>
          <w:rFonts w:hint="eastAsia" w:ascii="Times New Roman" w:hAnsi="Times New Roman" w:eastAsia="仿宋_GB2312" w:cs="Times New Roman"/>
          <w:color w:val="000000"/>
          <w:sz w:val="28"/>
          <w:szCs w:val="28"/>
          <w:highlight w:val="none"/>
          <w:lang w:eastAsia="zh-CN"/>
        </w:rPr>
        <w:t>有待进一步强化</w:t>
      </w:r>
      <w:r>
        <w:rPr>
          <w:rFonts w:hint="eastAsia" w:ascii="Times New Roman" w:hAnsi="Times New Roman" w:eastAsia="仿宋_GB2312" w:cs="Times New Roman"/>
          <w:color w:val="000000"/>
          <w:sz w:val="28"/>
          <w:szCs w:val="28"/>
          <w:highlight w:val="none"/>
          <w:lang w:val="en-US" w:eastAsia="zh-CN"/>
        </w:rPr>
        <w:t>落实</w:t>
      </w:r>
      <w:r>
        <w:rPr>
          <w:rFonts w:hint="eastAsia" w:ascii="Times New Roman" w:hAnsi="Times New Roman" w:eastAsia="仿宋_GB2312" w:cs="Times New Roman"/>
          <w:color w:val="000000"/>
          <w:sz w:val="28"/>
          <w:szCs w:val="28"/>
          <w:highlight w:val="none"/>
        </w:rPr>
        <w:t>，资金使用绩效有待</w:t>
      </w:r>
      <w:r>
        <w:rPr>
          <w:rFonts w:hint="eastAsia" w:ascii="Times New Roman" w:hAnsi="Times New Roman" w:eastAsia="仿宋_GB2312" w:cs="Times New Roman"/>
          <w:color w:val="000000"/>
          <w:sz w:val="28"/>
          <w:szCs w:val="28"/>
          <w:highlight w:val="none"/>
          <w:lang w:eastAsia="zh-CN"/>
        </w:rPr>
        <w:t>进一步</w:t>
      </w:r>
      <w:r>
        <w:rPr>
          <w:rFonts w:hint="eastAsia" w:ascii="Times New Roman" w:hAnsi="Times New Roman" w:eastAsia="仿宋_GB2312" w:cs="Times New Roman"/>
          <w:color w:val="000000"/>
          <w:sz w:val="28"/>
          <w:szCs w:val="28"/>
          <w:highlight w:val="none"/>
        </w:rPr>
        <w:t>提高</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rPr>
        <w:t>绩效</w:t>
      </w:r>
      <w:r>
        <w:rPr>
          <w:rFonts w:hint="eastAsia" w:ascii="Times New Roman" w:hAnsi="Times New Roman" w:eastAsia="仿宋_GB2312" w:cs="Times New Roman"/>
          <w:color w:val="000000"/>
          <w:sz w:val="28"/>
          <w:szCs w:val="28"/>
          <w:highlight w:val="none"/>
          <w:lang w:eastAsia="zh-CN"/>
        </w:rPr>
        <w:t>评价结果的运用有待进一步提升</w:t>
      </w:r>
      <w:r>
        <w:rPr>
          <w:rFonts w:hint="eastAsia" w:ascii="Times New Roman" w:hAnsi="Times New Roman" w:eastAsia="仿宋_GB2312" w:cs="Times New Roman"/>
          <w:color w:val="000000"/>
          <w:sz w:val="28"/>
          <w:szCs w:val="28"/>
          <w:highlight w:val="none"/>
        </w:rPr>
        <w:t>。</w:t>
      </w:r>
      <w:r>
        <w:rPr>
          <w:rFonts w:hint="eastAsia" w:ascii="Times New Roman" w:hAnsi="Times New Roman" w:eastAsia="仿宋_GB2312" w:cs="Times New Roman"/>
          <w:color w:val="000000"/>
          <w:sz w:val="28"/>
          <w:szCs w:val="28"/>
          <w:highlight w:val="none"/>
          <w:lang w:val="en-US" w:eastAsia="zh-CN"/>
        </w:rPr>
        <w:t xml:space="preserve">   </w:t>
      </w:r>
    </w:p>
    <w:p w14:paraId="5F55311C">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FF0000"/>
          <w:spacing w:val="11"/>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三）财务业务水平有待进一步提高。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14:paraId="2A8B11EB">
      <w:pPr>
        <w:keepNext w:val="0"/>
        <w:keepLines w:val="0"/>
        <w:pageBreakBefore w:val="0"/>
        <w:widowControl/>
        <w:numPr>
          <w:ilvl w:val="0"/>
          <w:numId w:val="1"/>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下一步改进措施</w:t>
      </w:r>
    </w:p>
    <w:p w14:paraId="17DFEB84">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一）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14:paraId="6FDA192F">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（二）强化</w:t>
      </w:r>
      <w:r>
        <w:rPr>
          <w:rFonts w:hint="eastAsia" w:ascii="Times New Roman" w:hAnsi="Times New Roman" w:eastAsia="仿宋_GB2312" w:cs="Times New Roman"/>
          <w:color w:val="000000"/>
          <w:sz w:val="28"/>
          <w:szCs w:val="28"/>
          <w:highlight w:val="none"/>
        </w:rPr>
        <w:t>绩效</w:t>
      </w:r>
      <w:r>
        <w:rPr>
          <w:rFonts w:hint="eastAsia" w:ascii="Times New Roman" w:hAnsi="Times New Roman" w:eastAsia="仿宋_GB2312" w:cs="Times New Roman"/>
          <w:color w:val="000000"/>
          <w:sz w:val="28"/>
          <w:szCs w:val="28"/>
          <w:highlight w:val="none"/>
          <w:lang w:eastAsia="zh-CN"/>
        </w:rPr>
        <w:t>评价结果的运用。</w:t>
      </w:r>
      <w:r>
        <w:rPr>
          <w:rFonts w:hint="eastAsia" w:ascii="Times New Roman" w:hAnsi="Times New Roman" w:eastAsia="仿宋_GB2312" w:cs="Times New Roman"/>
          <w:color w:val="000000"/>
          <w:sz w:val="28"/>
          <w:szCs w:val="28"/>
          <w:highlight w:val="none"/>
        </w:rPr>
        <w:t>绩效管理不只是财政支出方面，而应更加注重产出及效率，</w:t>
      </w:r>
      <w:r>
        <w:rPr>
          <w:rFonts w:hint="eastAsia" w:ascii="Times New Roman" w:hAnsi="Times New Roman" w:eastAsia="仿宋_GB2312" w:cs="Times New Roman"/>
          <w:color w:val="000000"/>
          <w:sz w:val="28"/>
          <w:szCs w:val="28"/>
          <w:highlight w:val="none"/>
          <w:lang w:val="en-US" w:eastAsia="zh-CN"/>
        </w:rPr>
        <w:t>进一步建立健全绩效评价结果与预算安排、改进管理、政策调整的挂钩机制，切实做到“花钱必问效，无效必问责”，</w:t>
      </w:r>
      <w:r>
        <w:rPr>
          <w:rFonts w:hint="eastAsia" w:ascii="Times New Roman" w:hAnsi="Times New Roman" w:eastAsia="仿宋_GB2312" w:cs="Times New Roman"/>
          <w:color w:val="000000"/>
          <w:sz w:val="28"/>
          <w:szCs w:val="28"/>
          <w:highlight w:val="none"/>
        </w:rPr>
        <w:t>这样有利于我们强化支出的责任，提高财政资金的使用效益，更好地促进我们履行职责。</w:t>
      </w:r>
    </w:p>
    <w:p w14:paraId="66E89F07">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三）加大财务人员培训力度，提高财务人员从业水平。督促财务人员树立常学常新的理念，及时更新知识体系，通过加大对财务人员预算绩效管理理论水平和实操的培训，提高将预算绩效管理转化成工作成果的能力，更好地提高本单位的管理水平。</w:t>
      </w:r>
    </w:p>
    <w:p w14:paraId="4C4114EA">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560" w:firstLineChars="200"/>
        <w:jc w:val="both"/>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部门整体支出绩效自评结果拟应用和公开情况</w:t>
      </w:r>
    </w:p>
    <w:p w14:paraId="77FD277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对照绩效自评结果，总结经验，发现问题，提出改进的方向和具体措施，促进工作更好的开展。逐步建立绩效评价与部门预算相结合的结果应用机制，实行绩效评价结果在部门预算编制和执行中的应用，促进财政资金的合理分配与有效使用。</w:t>
      </w:r>
    </w:p>
    <w:p w14:paraId="5036A1A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sz w:val="28"/>
          <w:szCs w:val="28"/>
          <w:highlight w:val="none"/>
          <w:lang w:val="en-US" w:eastAsia="zh-CN"/>
        </w:rPr>
        <w:t>对部门整体支出绩效自评在规定时间内公开至本单位门户网站，确保公开数据真实、完整、准确。</w:t>
      </w:r>
    </w:p>
    <w:p w14:paraId="3DC50DF2">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560" w:firstLineChars="200"/>
        <w:jc w:val="both"/>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其他需要说明的情况</w:t>
      </w:r>
    </w:p>
    <w:p w14:paraId="5B49ED35">
      <w:pPr>
        <w:pStyle w:val="9"/>
        <w:numPr>
          <w:ilvl w:val="0"/>
          <w:numId w:val="0"/>
        </w:numPr>
        <w:ind w:leftChars="200"/>
        <w:rPr>
          <w:rFonts w:hint="eastAsia"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无</w:t>
      </w:r>
    </w:p>
    <w:p w14:paraId="1036B82C">
      <w:pPr>
        <w:rPr>
          <w:rFonts w:hint="eastAsia"/>
          <w:lang w:eastAsia="zh-CN"/>
        </w:rPr>
      </w:pPr>
    </w:p>
    <w:p w14:paraId="5753F23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附件：</w:t>
      </w:r>
    </w:p>
    <w:p w14:paraId="5C9AA91D">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附件1.部门整体支出绩效评价基础数据表</w:t>
      </w:r>
    </w:p>
    <w:p w14:paraId="1728563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附件2.部门整体支出绩效自评表</w:t>
      </w:r>
    </w:p>
    <w:p w14:paraId="3EBD5C85">
      <w:pPr>
        <w:rPr>
          <w:rFonts w:hint="default"/>
          <w:lang w:val="en-US" w:eastAsia="zh-CN"/>
        </w:rPr>
      </w:pPr>
    </w:p>
    <w:p w14:paraId="6419643F">
      <w:pPr>
        <w:pStyle w:val="5"/>
        <w:rPr>
          <w:rFonts w:hint="default"/>
          <w:lang w:val="en-US" w:eastAsia="zh-CN"/>
        </w:rPr>
      </w:pPr>
    </w:p>
    <w:p w14:paraId="71E4F98A">
      <w:pPr>
        <w:rPr>
          <w:rFonts w:hint="default"/>
          <w:lang w:val="en-US" w:eastAsia="zh-CN"/>
        </w:rPr>
      </w:pPr>
    </w:p>
    <w:p w14:paraId="435D0E7C">
      <w:pPr>
        <w:pStyle w:val="2"/>
        <w:rPr>
          <w:rFonts w:hint="default"/>
          <w:lang w:val="en-US" w:eastAsia="zh-CN"/>
        </w:rPr>
      </w:pPr>
    </w:p>
    <w:p w14:paraId="1DFA1D55">
      <w:pPr>
        <w:pStyle w:val="5"/>
        <w:rPr>
          <w:rFonts w:hint="default"/>
          <w:lang w:val="en-US" w:eastAsia="zh-CN"/>
        </w:rPr>
      </w:pPr>
    </w:p>
    <w:p w14:paraId="714A09F4">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0D895E09">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10"/>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F2E3582">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45DF3C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E86A72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6D498D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6D027B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38537A1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6A0777C">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20E97B7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5B61BF2C">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23</w:t>
            </w:r>
          </w:p>
        </w:tc>
        <w:tc>
          <w:tcPr>
            <w:tcW w:w="2041" w:type="dxa"/>
            <w:gridSpan w:val="2"/>
            <w:tcBorders>
              <w:top w:val="single" w:color="auto" w:sz="4" w:space="0"/>
              <w:left w:val="nil"/>
              <w:bottom w:val="single" w:color="auto" w:sz="4" w:space="0"/>
              <w:right w:val="single" w:color="auto" w:sz="4" w:space="0"/>
            </w:tcBorders>
            <w:noWrap w:val="0"/>
            <w:vAlign w:val="center"/>
          </w:tcPr>
          <w:p w14:paraId="019B3B43">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14:paraId="1E6DFFA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E0916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2EEEE34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674DD3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B741F4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22D4AA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FC8E4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B493F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4841A7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14:paraId="538B4FA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0.68</w:t>
            </w:r>
          </w:p>
        </w:tc>
      </w:tr>
      <w:tr w14:paraId="19DFB18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39FC6C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249ABE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509334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551272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790028C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E703E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EBCEA4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E57035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AA6BF9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6CD9402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0E803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6B2EB8E7">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0C3A53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15F4C0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44D881A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2B926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6834B4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1E836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9B16FD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7640AB0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B3A5A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215703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0.56　</w:t>
            </w:r>
          </w:p>
        </w:tc>
        <w:tc>
          <w:tcPr>
            <w:tcW w:w="2240" w:type="dxa"/>
            <w:gridSpan w:val="2"/>
            <w:tcBorders>
              <w:top w:val="single" w:color="auto" w:sz="4" w:space="0"/>
              <w:left w:val="nil"/>
              <w:bottom w:val="single" w:color="auto" w:sz="4" w:space="0"/>
              <w:right w:val="single" w:color="000000" w:sz="4" w:space="0"/>
            </w:tcBorders>
            <w:noWrap w:val="0"/>
            <w:vAlign w:val="center"/>
          </w:tcPr>
          <w:p w14:paraId="07F82DB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14:paraId="699FED5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0.68</w:t>
            </w:r>
            <w:r>
              <w:rPr>
                <w:rFonts w:hint="eastAsia" w:ascii="仿宋_GB2312" w:hAnsi="仿宋_GB2312" w:eastAsia="仿宋_GB2312" w:cs="仿宋_GB2312"/>
                <w:sz w:val="20"/>
                <w:szCs w:val="20"/>
                <w:highlight w:val="none"/>
              </w:rPr>
              <w:t>　</w:t>
            </w:r>
          </w:p>
        </w:tc>
      </w:tr>
      <w:tr w14:paraId="06CAF6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F77D8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7D067C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285.45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20C3AE2">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471.35</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700D29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393.57</w:t>
            </w:r>
            <w:r>
              <w:rPr>
                <w:rFonts w:hint="eastAsia" w:ascii="仿宋_GB2312" w:hAnsi="仿宋_GB2312" w:eastAsia="仿宋_GB2312" w:cs="仿宋_GB2312"/>
                <w:sz w:val="20"/>
                <w:szCs w:val="20"/>
                <w:highlight w:val="none"/>
              </w:rPr>
              <w:t>　</w:t>
            </w:r>
          </w:p>
        </w:tc>
      </w:tr>
      <w:tr w14:paraId="36D54D3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29A05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133E34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285.45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D0EF9B6">
            <w:pPr>
              <w:widowControl/>
              <w:spacing w:line="360" w:lineRule="exact"/>
              <w:jc w:val="center"/>
              <w:rPr>
                <w:rFonts w:hint="default" w:ascii="仿宋_GB2312" w:hAnsi="仿宋_GB2312" w:eastAsia="仿宋_GB2312" w:cs="仿宋_GB2312"/>
                <w:color w:val="000000" w:themeColor="text1"/>
                <w:sz w:val="20"/>
                <w:szCs w:val="20"/>
                <w:highlight w:val="none"/>
                <w:lang w:val="en-US"/>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471.35</w:t>
            </w:r>
          </w:p>
        </w:tc>
        <w:tc>
          <w:tcPr>
            <w:tcW w:w="2041" w:type="dxa"/>
            <w:gridSpan w:val="2"/>
            <w:tcBorders>
              <w:top w:val="single" w:color="auto" w:sz="4" w:space="0"/>
              <w:left w:val="nil"/>
              <w:bottom w:val="single" w:color="auto" w:sz="4" w:space="0"/>
              <w:right w:val="single" w:color="000000" w:sz="4" w:space="0"/>
            </w:tcBorders>
            <w:noWrap w:val="0"/>
            <w:vAlign w:val="center"/>
          </w:tcPr>
          <w:p w14:paraId="73A2844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393.57</w:t>
            </w:r>
            <w:r>
              <w:rPr>
                <w:rFonts w:hint="eastAsia" w:ascii="仿宋_GB2312" w:hAnsi="仿宋_GB2312" w:eastAsia="仿宋_GB2312" w:cs="仿宋_GB2312"/>
                <w:sz w:val="20"/>
                <w:szCs w:val="20"/>
                <w:highlight w:val="none"/>
              </w:rPr>
              <w:t>　</w:t>
            </w:r>
          </w:p>
        </w:tc>
      </w:tr>
      <w:tr w14:paraId="3BA8A36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B218A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lang w:eastAsia="zh-CN"/>
              </w:rPr>
              <w:t>区级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FC1483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642AB6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3A5E70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E3C1AA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D33028">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E3E41B">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color w:val="auto"/>
                <w:sz w:val="20"/>
                <w:szCs w:val="20"/>
                <w:highlight w:val="none"/>
                <w:lang w:val="en-US" w:eastAsia="zh-CN"/>
              </w:rPr>
              <w:t>367.32</w:t>
            </w:r>
          </w:p>
        </w:tc>
        <w:tc>
          <w:tcPr>
            <w:tcW w:w="2240" w:type="dxa"/>
            <w:gridSpan w:val="2"/>
            <w:tcBorders>
              <w:top w:val="single" w:color="auto" w:sz="4" w:space="0"/>
              <w:left w:val="nil"/>
              <w:bottom w:val="single" w:color="auto" w:sz="4" w:space="0"/>
              <w:right w:val="single" w:color="000000" w:sz="4" w:space="0"/>
            </w:tcBorders>
            <w:noWrap w:val="0"/>
            <w:vAlign w:val="center"/>
          </w:tcPr>
          <w:p w14:paraId="0580F3AD">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28.8</w:t>
            </w:r>
          </w:p>
        </w:tc>
        <w:tc>
          <w:tcPr>
            <w:tcW w:w="2041" w:type="dxa"/>
            <w:gridSpan w:val="2"/>
            <w:tcBorders>
              <w:top w:val="single" w:color="auto" w:sz="4" w:space="0"/>
              <w:left w:val="nil"/>
              <w:bottom w:val="single" w:color="auto" w:sz="4" w:space="0"/>
              <w:right w:val="single" w:color="000000" w:sz="4" w:space="0"/>
            </w:tcBorders>
            <w:noWrap w:val="0"/>
            <w:vAlign w:val="center"/>
          </w:tcPr>
          <w:p w14:paraId="3CA3D27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200.82</w:t>
            </w:r>
          </w:p>
        </w:tc>
      </w:tr>
      <w:tr w14:paraId="636A12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91D4B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03656D">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29.51</w:t>
            </w:r>
          </w:p>
        </w:tc>
        <w:tc>
          <w:tcPr>
            <w:tcW w:w="2240" w:type="dxa"/>
            <w:gridSpan w:val="2"/>
            <w:tcBorders>
              <w:top w:val="single" w:color="auto" w:sz="4" w:space="0"/>
              <w:left w:val="nil"/>
              <w:bottom w:val="single" w:color="auto" w:sz="4" w:space="0"/>
              <w:right w:val="single" w:color="000000" w:sz="4" w:space="0"/>
            </w:tcBorders>
            <w:noWrap w:val="0"/>
            <w:vAlign w:val="center"/>
          </w:tcPr>
          <w:p w14:paraId="5A277AEB">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auto"/>
                <w:sz w:val="20"/>
                <w:szCs w:val="20"/>
                <w:highlight w:val="none"/>
                <w:lang w:val="en-US" w:eastAsia="zh-CN"/>
              </w:rPr>
              <w:t>20.8</w:t>
            </w:r>
          </w:p>
        </w:tc>
        <w:tc>
          <w:tcPr>
            <w:tcW w:w="2041" w:type="dxa"/>
            <w:gridSpan w:val="2"/>
            <w:tcBorders>
              <w:top w:val="single" w:color="auto" w:sz="4" w:space="0"/>
              <w:left w:val="nil"/>
              <w:bottom w:val="single" w:color="auto" w:sz="4" w:space="0"/>
              <w:right w:val="single" w:color="000000" w:sz="4" w:space="0"/>
            </w:tcBorders>
            <w:noWrap w:val="0"/>
            <w:vAlign w:val="center"/>
          </w:tcPr>
          <w:p w14:paraId="4FA7F6D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24.8</w:t>
            </w:r>
          </w:p>
        </w:tc>
      </w:tr>
      <w:tr w14:paraId="728D5B3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231E9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16D8E9C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12.16</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B8C7C62">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713E77B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7.21</w:t>
            </w:r>
          </w:p>
        </w:tc>
      </w:tr>
      <w:tr w14:paraId="2581145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8CAB0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A023048">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27.74</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316BB92">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6411DA67">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auto"/>
                <w:sz w:val="20"/>
                <w:szCs w:val="20"/>
                <w:highlight w:val="none"/>
                <w:lang w:val="en-US" w:eastAsia="zh-CN"/>
              </w:rPr>
              <w:t>1.44</w:t>
            </w:r>
          </w:p>
        </w:tc>
      </w:tr>
      <w:tr w14:paraId="5943903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A05E9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8CDB75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73D64C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453.94</w:t>
            </w:r>
          </w:p>
        </w:tc>
        <w:tc>
          <w:tcPr>
            <w:tcW w:w="2041" w:type="dxa"/>
            <w:gridSpan w:val="2"/>
            <w:tcBorders>
              <w:top w:val="single" w:color="auto" w:sz="4" w:space="0"/>
              <w:left w:val="nil"/>
              <w:bottom w:val="single" w:color="auto" w:sz="4" w:space="0"/>
              <w:right w:val="single" w:color="000000" w:sz="4" w:space="0"/>
            </w:tcBorders>
            <w:noWrap w:val="0"/>
            <w:vAlign w:val="center"/>
          </w:tcPr>
          <w:p w14:paraId="5B02E64B">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color w:val="auto"/>
                <w:sz w:val="20"/>
                <w:szCs w:val="20"/>
                <w:highlight w:val="none"/>
                <w:lang w:val="en-US" w:eastAsia="zh-CN"/>
              </w:rPr>
              <w:t>324.13</w:t>
            </w:r>
          </w:p>
        </w:tc>
      </w:tr>
      <w:tr w14:paraId="29AB2ADA">
        <w:tblPrEx>
          <w:tblCellMar>
            <w:top w:w="0" w:type="dxa"/>
            <w:left w:w="108" w:type="dxa"/>
            <w:bottom w:w="0" w:type="dxa"/>
            <w:right w:w="108" w:type="dxa"/>
          </w:tblCellMar>
        </w:tblPrEx>
        <w:trPr>
          <w:trHeight w:val="34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C41D4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639962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CF6D6D0">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color w:val="000000"/>
                <w:sz w:val="20"/>
                <w:szCs w:val="20"/>
                <w:highlight w:val="none"/>
                <w:lang w:val="en-US" w:eastAsia="zh-CN"/>
              </w:rPr>
              <w:t>400.92</w:t>
            </w:r>
          </w:p>
        </w:tc>
        <w:tc>
          <w:tcPr>
            <w:tcW w:w="2041" w:type="dxa"/>
            <w:gridSpan w:val="2"/>
            <w:tcBorders>
              <w:top w:val="single" w:color="auto" w:sz="4" w:space="0"/>
              <w:left w:val="nil"/>
              <w:bottom w:val="single" w:color="auto" w:sz="4" w:space="0"/>
              <w:right w:val="single" w:color="000000" w:sz="4" w:space="0"/>
            </w:tcBorders>
            <w:noWrap w:val="0"/>
            <w:vAlign w:val="center"/>
          </w:tcPr>
          <w:p w14:paraId="26E0B35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726.64</w:t>
            </w:r>
            <w:r>
              <w:rPr>
                <w:rFonts w:hint="eastAsia" w:ascii="仿宋_GB2312" w:hAnsi="仿宋_GB2312" w:eastAsia="仿宋_GB2312" w:cs="仿宋_GB2312"/>
                <w:sz w:val="20"/>
                <w:szCs w:val="20"/>
                <w:highlight w:val="none"/>
              </w:rPr>
              <w:t>　</w:t>
            </w:r>
          </w:p>
        </w:tc>
      </w:tr>
      <w:tr w14:paraId="5BECE51E">
        <w:tblPrEx>
          <w:tblCellMar>
            <w:top w:w="0" w:type="dxa"/>
            <w:left w:w="108" w:type="dxa"/>
            <w:bottom w:w="0" w:type="dxa"/>
            <w:right w:w="108" w:type="dxa"/>
          </w:tblCellMar>
        </w:tblPrEx>
        <w:trPr>
          <w:trHeight w:val="100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A9ADCCD">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2C31648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3724D2FB">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670B931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755442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828052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69E3BD2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E8B1B5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7A7309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3DBDEAC4">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32754277">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6F06F93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6B1A404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1452FD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2E4E7E3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52C79D5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348C03D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3314D73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EB29FF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CFD22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精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14:paraId="218E908D">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AF7705A">
      <w:pPr>
        <w:widowControl/>
        <w:spacing w:afterLines="0" w:line="400" w:lineRule="exact"/>
        <w:jc w:val="left"/>
        <w:rPr>
          <w:rFonts w:hint="default" w:ascii="Times New Roman" w:hAnsi="Times New Roman" w:eastAsia="仿宋_GB2312" w:cs="Times New Roman"/>
          <w:sz w:val="22"/>
          <w:highlight w:val="none"/>
        </w:rPr>
      </w:pPr>
    </w:p>
    <w:p w14:paraId="4525E07B">
      <w:pPr>
        <w:pStyle w:val="2"/>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eastAsia="zh-CN"/>
        </w:rPr>
        <w:t>徐皓</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冯慧</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18274069188</w:t>
      </w:r>
    </w:p>
    <w:p w14:paraId="00AF1B96">
      <w:pPr>
        <w:pStyle w:val="2"/>
        <w:rPr>
          <w:rFonts w:hint="eastAsia"/>
          <w:lang w:val="en-US" w:eastAsia="zh-CN"/>
        </w:rPr>
      </w:pP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2025年5月8日</w:t>
      </w:r>
    </w:p>
    <w:p w14:paraId="6B7F2FF4">
      <w:pPr>
        <w:widowControl/>
        <w:spacing w:after="0" w:afterLines="0" w:line="400" w:lineRule="exact"/>
        <w:jc w:val="left"/>
        <w:rPr>
          <w:rFonts w:hint="eastAsia" w:ascii="Times New Roman" w:hAnsi="Times New Roman" w:eastAsia="仿宋_GB2312" w:cs="Times New Roman"/>
          <w:sz w:val="22"/>
          <w:highlight w:val="none"/>
          <w:lang w:val="en-US" w:eastAsia="zh-CN"/>
        </w:rPr>
      </w:pPr>
    </w:p>
    <w:p w14:paraId="1EC30C8E">
      <w:pPr>
        <w:pStyle w:val="2"/>
        <w:rPr>
          <w:rFonts w:hint="eastAsia"/>
          <w:lang w:val="en-US" w:eastAsia="zh-CN"/>
        </w:rPr>
      </w:pPr>
      <w:r>
        <w:rPr>
          <w:rFonts w:hint="default" w:ascii="Times New Roman" w:hAnsi="Times New Roman" w:eastAsia="仿宋_GB2312" w:cs="Times New Roman"/>
          <w:sz w:val="22"/>
          <w:highlight w:val="none"/>
        </w:rPr>
        <w:t xml:space="preserve"> </w:t>
      </w:r>
    </w:p>
    <w:p w14:paraId="18CD3DBC">
      <w:pPr>
        <w:widowControl/>
        <w:spacing w:after="0" w:afterLines="0" w:line="400" w:lineRule="exact"/>
        <w:jc w:val="left"/>
        <w:rPr>
          <w:rFonts w:hint="eastAsia" w:ascii="黑体" w:hAnsi="黑体" w:eastAsia="黑体" w:cs="黑体"/>
          <w:sz w:val="32"/>
          <w:szCs w:val="32"/>
          <w:highlight w:val="none"/>
          <w:lang w:eastAsia="zh-CN"/>
        </w:rPr>
      </w:pPr>
      <w:bookmarkStart w:id="0" w:name="_GoBack"/>
      <w:bookmarkEnd w:id="0"/>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4D0EBEA2">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10"/>
        <w:tblW w:w="9700" w:type="dxa"/>
        <w:jc w:val="center"/>
        <w:tblLayout w:type="fixed"/>
        <w:tblCellMar>
          <w:top w:w="0" w:type="dxa"/>
          <w:left w:w="108" w:type="dxa"/>
          <w:bottom w:w="0" w:type="dxa"/>
          <w:right w:w="108" w:type="dxa"/>
        </w:tblCellMar>
      </w:tblPr>
      <w:tblGrid>
        <w:gridCol w:w="1050"/>
        <w:gridCol w:w="780"/>
        <w:gridCol w:w="1140"/>
        <w:gridCol w:w="1740"/>
        <w:gridCol w:w="940"/>
        <w:gridCol w:w="1730"/>
        <w:gridCol w:w="650"/>
        <w:gridCol w:w="650"/>
        <w:gridCol w:w="1020"/>
      </w:tblGrid>
      <w:tr w14:paraId="3AD92B01">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1C4873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区</w:t>
            </w:r>
            <w:r>
              <w:rPr>
                <w:rFonts w:hint="eastAsia" w:ascii="仿宋_GB2312" w:hAnsi="仿宋_GB2312" w:eastAsia="仿宋_GB2312" w:cs="仿宋_GB2312"/>
                <w:color w:val="000000"/>
                <w:sz w:val="20"/>
                <w:szCs w:val="20"/>
                <w:highlight w:val="none"/>
              </w:rPr>
              <w:t>级预算部门名称</w:t>
            </w:r>
          </w:p>
        </w:tc>
        <w:tc>
          <w:tcPr>
            <w:tcW w:w="8650" w:type="dxa"/>
            <w:gridSpan w:val="8"/>
            <w:tcBorders>
              <w:top w:val="single" w:color="auto" w:sz="4" w:space="0"/>
              <w:left w:val="nil"/>
              <w:bottom w:val="single" w:color="auto" w:sz="4" w:space="0"/>
              <w:right w:val="single" w:color="auto" w:sz="4" w:space="0"/>
            </w:tcBorders>
            <w:noWrap w:val="0"/>
            <w:vAlign w:val="center"/>
          </w:tcPr>
          <w:p w14:paraId="1A8C04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岳阳市君山区财政局</w:t>
            </w:r>
            <w:r>
              <w:rPr>
                <w:rFonts w:hint="eastAsia" w:ascii="仿宋_GB2312" w:hAnsi="仿宋_GB2312" w:eastAsia="仿宋_GB2312" w:cs="仿宋_GB2312"/>
                <w:color w:val="000000"/>
                <w:sz w:val="20"/>
                <w:szCs w:val="20"/>
                <w:highlight w:val="none"/>
              </w:rPr>
              <w:t>　</w:t>
            </w:r>
          </w:p>
        </w:tc>
      </w:tr>
      <w:tr w14:paraId="20AE360A">
        <w:tblPrEx>
          <w:tblCellMar>
            <w:top w:w="0" w:type="dxa"/>
            <w:left w:w="108" w:type="dxa"/>
            <w:bottom w:w="0" w:type="dxa"/>
            <w:right w:w="108" w:type="dxa"/>
          </w:tblCellMar>
        </w:tblPrEx>
        <w:trPr>
          <w:jc w:val="center"/>
        </w:trPr>
        <w:tc>
          <w:tcPr>
            <w:tcW w:w="1050" w:type="dxa"/>
            <w:vMerge w:val="restart"/>
            <w:tcBorders>
              <w:top w:val="nil"/>
              <w:left w:val="single" w:color="auto" w:sz="4" w:space="0"/>
              <w:right w:val="single" w:color="auto" w:sz="4" w:space="0"/>
            </w:tcBorders>
            <w:noWrap w:val="0"/>
            <w:vAlign w:val="center"/>
          </w:tcPr>
          <w:p w14:paraId="203C03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6AED0350">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588C861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920" w:type="dxa"/>
            <w:gridSpan w:val="2"/>
            <w:tcBorders>
              <w:top w:val="nil"/>
              <w:left w:val="nil"/>
              <w:bottom w:val="single" w:color="auto" w:sz="4" w:space="0"/>
              <w:right w:val="single" w:color="auto" w:sz="4" w:space="0"/>
            </w:tcBorders>
            <w:noWrap w:val="0"/>
            <w:vAlign w:val="center"/>
          </w:tcPr>
          <w:p w14:paraId="2892352F">
            <w:pPr>
              <w:spacing w:line="240" w:lineRule="exact"/>
              <w:jc w:val="center"/>
              <w:rPr>
                <w:rFonts w:hint="eastAsia" w:ascii="仿宋_GB2312" w:hAnsi="仿宋_GB2312" w:eastAsia="仿宋_GB2312" w:cs="仿宋_GB2312"/>
                <w:sz w:val="20"/>
                <w:szCs w:val="20"/>
                <w:highlight w:val="none"/>
              </w:rPr>
            </w:pPr>
          </w:p>
        </w:tc>
        <w:tc>
          <w:tcPr>
            <w:tcW w:w="1740" w:type="dxa"/>
            <w:tcBorders>
              <w:top w:val="nil"/>
              <w:left w:val="nil"/>
              <w:bottom w:val="single" w:color="auto" w:sz="4" w:space="0"/>
              <w:right w:val="single" w:color="auto" w:sz="4" w:space="0"/>
            </w:tcBorders>
            <w:noWrap w:val="0"/>
            <w:vAlign w:val="center"/>
          </w:tcPr>
          <w:p w14:paraId="31C19F3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940" w:type="dxa"/>
            <w:tcBorders>
              <w:top w:val="nil"/>
              <w:left w:val="nil"/>
              <w:bottom w:val="single" w:color="auto" w:sz="4" w:space="0"/>
              <w:right w:val="single" w:color="auto" w:sz="4" w:space="0"/>
            </w:tcBorders>
            <w:noWrap w:val="0"/>
            <w:vAlign w:val="center"/>
          </w:tcPr>
          <w:p w14:paraId="791A88A6">
            <w:pPr>
              <w:spacing w:line="24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全年预算数</w:t>
            </w:r>
          </w:p>
        </w:tc>
        <w:tc>
          <w:tcPr>
            <w:tcW w:w="1730" w:type="dxa"/>
            <w:tcBorders>
              <w:top w:val="nil"/>
              <w:left w:val="nil"/>
              <w:bottom w:val="single" w:color="auto" w:sz="4" w:space="0"/>
              <w:right w:val="single" w:color="auto" w:sz="4" w:space="0"/>
            </w:tcBorders>
            <w:noWrap w:val="0"/>
            <w:vAlign w:val="center"/>
          </w:tcPr>
          <w:p w14:paraId="383D1010">
            <w:pPr>
              <w:spacing w:line="24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全年执行数</w:t>
            </w:r>
          </w:p>
        </w:tc>
        <w:tc>
          <w:tcPr>
            <w:tcW w:w="650" w:type="dxa"/>
            <w:tcBorders>
              <w:top w:val="nil"/>
              <w:left w:val="nil"/>
              <w:bottom w:val="single" w:color="auto" w:sz="4" w:space="0"/>
              <w:right w:val="single" w:color="auto" w:sz="4" w:space="0"/>
            </w:tcBorders>
            <w:noWrap w:val="0"/>
            <w:vAlign w:val="center"/>
          </w:tcPr>
          <w:p w14:paraId="5493E70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50" w:type="dxa"/>
            <w:tcBorders>
              <w:top w:val="nil"/>
              <w:left w:val="nil"/>
              <w:bottom w:val="single" w:color="auto" w:sz="4" w:space="0"/>
              <w:right w:val="single" w:color="auto" w:sz="4" w:space="0"/>
            </w:tcBorders>
            <w:noWrap w:val="0"/>
            <w:vAlign w:val="center"/>
          </w:tcPr>
          <w:p w14:paraId="74BB4C8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20" w:type="dxa"/>
            <w:tcBorders>
              <w:top w:val="nil"/>
              <w:left w:val="nil"/>
              <w:bottom w:val="single" w:color="auto" w:sz="4" w:space="0"/>
              <w:right w:val="single" w:color="auto" w:sz="4" w:space="0"/>
            </w:tcBorders>
            <w:noWrap w:val="0"/>
            <w:vAlign w:val="center"/>
          </w:tcPr>
          <w:p w14:paraId="42A761F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FD2FB45">
        <w:tblPrEx>
          <w:tblCellMar>
            <w:top w:w="0" w:type="dxa"/>
            <w:left w:w="108" w:type="dxa"/>
            <w:bottom w:w="0" w:type="dxa"/>
            <w:right w:w="108" w:type="dxa"/>
          </w:tblCellMar>
        </w:tblPrEx>
        <w:trPr>
          <w:jc w:val="center"/>
        </w:trPr>
        <w:tc>
          <w:tcPr>
            <w:tcW w:w="1050" w:type="dxa"/>
            <w:vMerge w:val="continue"/>
            <w:tcBorders>
              <w:top w:val="nil"/>
              <w:left w:val="single" w:color="auto" w:sz="4" w:space="0"/>
              <w:right w:val="single" w:color="auto" w:sz="4" w:space="0"/>
            </w:tcBorders>
            <w:noWrap w:val="0"/>
            <w:vAlign w:val="center"/>
          </w:tcPr>
          <w:p w14:paraId="68700856">
            <w:pPr>
              <w:widowControl/>
              <w:spacing w:line="240" w:lineRule="exact"/>
              <w:jc w:val="center"/>
              <w:rPr>
                <w:rFonts w:hint="eastAsia" w:ascii="仿宋_GB2312" w:hAnsi="仿宋_GB2312" w:eastAsia="仿宋_GB2312" w:cs="仿宋_GB2312"/>
                <w:color w:val="000000"/>
                <w:sz w:val="20"/>
                <w:szCs w:val="20"/>
                <w:highlight w:val="none"/>
              </w:rPr>
            </w:pPr>
          </w:p>
        </w:tc>
        <w:tc>
          <w:tcPr>
            <w:tcW w:w="1920" w:type="dxa"/>
            <w:gridSpan w:val="2"/>
            <w:tcBorders>
              <w:top w:val="nil"/>
              <w:left w:val="nil"/>
              <w:bottom w:val="single" w:color="auto" w:sz="4" w:space="0"/>
              <w:right w:val="single" w:color="auto" w:sz="4" w:space="0"/>
            </w:tcBorders>
            <w:noWrap w:val="0"/>
            <w:vAlign w:val="center"/>
          </w:tcPr>
          <w:p w14:paraId="3AF02B1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740" w:type="dxa"/>
            <w:tcBorders>
              <w:top w:val="nil"/>
              <w:left w:val="nil"/>
              <w:bottom w:val="single" w:color="auto" w:sz="4" w:space="0"/>
              <w:right w:val="single" w:color="auto" w:sz="4" w:space="0"/>
            </w:tcBorders>
            <w:noWrap w:val="0"/>
            <w:vAlign w:val="center"/>
          </w:tcPr>
          <w:p w14:paraId="6C4D348D">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872.27</w:t>
            </w:r>
          </w:p>
        </w:tc>
        <w:tc>
          <w:tcPr>
            <w:tcW w:w="940" w:type="dxa"/>
            <w:tcBorders>
              <w:top w:val="nil"/>
              <w:left w:val="nil"/>
              <w:bottom w:val="single" w:color="auto" w:sz="4" w:space="0"/>
              <w:right w:val="single" w:color="auto" w:sz="4" w:space="0"/>
            </w:tcBorders>
            <w:noWrap w:val="0"/>
            <w:vAlign w:val="center"/>
          </w:tcPr>
          <w:p w14:paraId="698869B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1204.39</w:t>
            </w:r>
          </w:p>
        </w:tc>
        <w:tc>
          <w:tcPr>
            <w:tcW w:w="1730" w:type="dxa"/>
            <w:tcBorders>
              <w:top w:val="nil"/>
              <w:left w:val="nil"/>
              <w:bottom w:val="single" w:color="auto" w:sz="4" w:space="0"/>
              <w:right w:val="single" w:color="auto" w:sz="4" w:space="0"/>
            </w:tcBorders>
            <w:noWrap w:val="0"/>
            <w:vAlign w:val="center"/>
          </w:tcPr>
          <w:p w14:paraId="59A88AE7">
            <w:pPr>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1120.21</w:t>
            </w:r>
          </w:p>
        </w:tc>
        <w:tc>
          <w:tcPr>
            <w:tcW w:w="650" w:type="dxa"/>
            <w:tcBorders>
              <w:top w:val="nil"/>
              <w:left w:val="nil"/>
              <w:bottom w:val="single" w:color="auto" w:sz="4" w:space="0"/>
              <w:right w:val="single" w:color="auto" w:sz="4" w:space="0"/>
            </w:tcBorders>
            <w:noWrap w:val="0"/>
            <w:vAlign w:val="center"/>
          </w:tcPr>
          <w:p w14:paraId="2D6A5FB2">
            <w:pPr>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w:t>
            </w:r>
          </w:p>
        </w:tc>
        <w:tc>
          <w:tcPr>
            <w:tcW w:w="650" w:type="dxa"/>
            <w:tcBorders>
              <w:top w:val="nil"/>
              <w:left w:val="nil"/>
              <w:bottom w:val="single" w:color="auto" w:sz="4" w:space="0"/>
              <w:right w:val="single" w:color="auto" w:sz="4" w:space="0"/>
            </w:tcBorders>
            <w:noWrap w:val="0"/>
            <w:vAlign w:val="center"/>
          </w:tcPr>
          <w:p w14:paraId="5263EDAD">
            <w:pPr>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93%</w:t>
            </w:r>
          </w:p>
        </w:tc>
        <w:tc>
          <w:tcPr>
            <w:tcW w:w="1020" w:type="dxa"/>
            <w:tcBorders>
              <w:top w:val="nil"/>
              <w:left w:val="nil"/>
              <w:bottom w:val="single" w:color="auto" w:sz="4" w:space="0"/>
              <w:right w:val="single" w:color="auto" w:sz="4" w:space="0"/>
            </w:tcBorders>
            <w:noWrap w:val="0"/>
            <w:vAlign w:val="center"/>
          </w:tcPr>
          <w:p w14:paraId="3CAA0A7C">
            <w:pPr>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9.3</w:t>
            </w:r>
          </w:p>
        </w:tc>
      </w:tr>
      <w:tr w14:paraId="56BD90FD">
        <w:tblPrEx>
          <w:tblCellMar>
            <w:top w:w="0" w:type="dxa"/>
            <w:left w:w="108" w:type="dxa"/>
            <w:bottom w:w="0" w:type="dxa"/>
            <w:right w:w="108" w:type="dxa"/>
          </w:tblCellMar>
        </w:tblPrEx>
        <w:trPr>
          <w:jc w:val="center"/>
        </w:trPr>
        <w:tc>
          <w:tcPr>
            <w:tcW w:w="1050" w:type="dxa"/>
            <w:vMerge w:val="continue"/>
            <w:tcBorders>
              <w:left w:val="single" w:color="auto" w:sz="4" w:space="0"/>
              <w:right w:val="single" w:color="auto" w:sz="4" w:space="0"/>
            </w:tcBorders>
            <w:noWrap w:val="0"/>
            <w:vAlign w:val="center"/>
          </w:tcPr>
          <w:p w14:paraId="770479BE">
            <w:pPr>
              <w:widowControl/>
              <w:spacing w:line="240" w:lineRule="exact"/>
              <w:jc w:val="left"/>
              <w:rPr>
                <w:rFonts w:hint="eastAsia" w:ascii="仿宋_GB2312" w:hAnsi="仿宋_GB2312" w:eastAsia="仿宋_GB2312" w:cs="仿宋_GB2312"/>
                <w:color w:val="000000"/>
                <w:sz w:val="20"/>
                <w:szCs w:val="20"/>
                <w:highlight w:val="none"/>
              </w:rPr>
            </w:pPr>
          </w:p>
        </w:tc>
        <w:tc>
          <w:tcPr>
            <w:tcW w:w="4600" w:type="dxa"/>
            <w:gridSpan w:val="4"/>
            <w:tcBorders>
              <w:top w:val="nil"/>
              <w:left w:val="nil"/>
              <w:bottom w:val="single" w:color="auto" w:sz="4" w:space="0"/>
              <w:right w:val="single" w:color="auto" w:sz="4" w:space="0"/>
            </w:tcBorders>
            <w:noWrap w:val="0"/>
            <w:vAlign w:val="center"/>
          </w:tcPr>
          <w:p w14:paraId="075DD1D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r>
              <w:rPr>
                <w:rFonts w:hint="eastAsia" w:ascii="仿宋_GB2312" w:hAnsi="仿宋_GB2312" w:eastAsia="仿宋_GB2312" w:cs="仿宋_GB2312"/>
                <w:color w:val="000000"/>
                <w:sz w:val="20"/>
                <w:szCs w:val="20"/>
                <w:highlight w:val="none"/>
                <w:lang w:val="en-US" w:eastAsia="zh-CN"/>
              </w:rPr>
              <w:t>1204.39</w:t>
            </w:r>
          </w:p>
        </w:tc>
        <w:tc>
          <w:tcPr>
            <w:tcW w:w="4050" w:type="dxa"/>
            <w:gridSpan w:val="4"/>
            <w:tcBorders>
              <w:top w:val="nil"/>
              <w:left w:val="nil"/>
              <w:bottom w:val="single" w:color="auto" w:sz="4" w:space="0"/>
              <w:right w:val="single" w:color="auto" w:sz="4" w:space="0"/>
            </w:tcBorders>
            <w:noWrap w:val="0"/>
            <w:vAlign w:val="center"/>
          </w:tcPr>
          <w:p w14:paraId="76E4EE84">
            <w:pPr>
              <w:widowControl/>
              <w:spacing w:line="240" w:lineRule="exact"/>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按支出性质分：</w:t>
            </w:r>
            <w:r>
              <w:rPr>
                <w:rFonts w:hint="eastAsia" w:ascii="仿宋_GB2312" w:hAnsi="仿宋_GB2312" w:eastAsia="仿宋_GB2312" w:cs="仿宋_GB2312"/>
                <w:color w:val="auto"/>
                <w:sz w:val="20"/>
                <w:szCs w:val="20"/>
                <w:highlight w:val="none"/>
                <w:lang w:val="en-US" w:eastAsia="zh-CN"/>
              </w:rPr>
              <w:t>1120.21</w:t>
            </w:r>
          </w:p>
        </w:tc>
      </w:tr>
      <w:tr w14:paraId="5EEA11C4">
        <w:tblPrEx>
          <w:tblCellMar>
            <w:top w:w="0" w:type="dxa"/>
            <w:left w:w="108" w:type="dxa"/>
            <w:bottom w:w="0" w:type="dxa"/>
            <w:right w:w="108" w:type="dxa"/>
          </w:tblCellMar>
        </w:tblPrEx>
        <w:trPr>
          <w:jc w:val="center"/>
        </w:trPr>
        <w:tc>
          <w:tcPr>
            <w:tcW w:w="1050" w:type="dxa"/>
            <w:vMerge w:val="continue"/>
            <w:tcBorders>
              <w:left w:val="single" w:color="auto" w:sz="4" w:space="0"/>
              <w:right w:val="single" w:color="auto" w:sz="4" w:space="0"/>
            </w:tcBorders>
            <w:noWrap w:val="0"/>
            <w:vAlign w:val="center"/>
          </w:tcPr>
          <w:p w14:paraId="16CAA592">
            <w:pPr>
              <w:widowControl/>
              <w:spacing w:line="240" w:lineRule="exact"/>
              <w:jc w:val="left"/>
              <w:rPr>
                <w:rFonts w:hint="eastAsia" w:ascii="仿宋_GB2312" w:hAnsi="仿宋_GB2312" w:eastAsia="仿宋_GB2312" w:cs="仿宋_GB2312"/>
                <w:color w:val="000000"/>
                <w:sz w:val="20"/>
                <w:szCs w:val="20"/>
                <w:highlight w:val="none"/>
              </w:rPr>
            </w:pPr>
          </w:p>
        </w:tc>
        <w:tc>
          <w:tcPr>
            <w:tcW w:w="4600" w:type="dxa"/>
            <w:gridSpan w:val="4"/>
            <w:tcBorders>
              <w:top w:val="nil"/>
              <w:left w:val="nil"/>
              <w:bottom w:val="single" w:color="auto" w:sz="4" w:space="0"/>
              <w:right w:val="single" w:color="auto" w:sz="4" w:space="0"/>
            </w:tcBorders>
            <w:noWrap w:val="0"/>
            <w:vAlign w:val="center"/>
          </w:tcPr>
          <w:p w14:paraId="5CD4FC6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1204.39</w:t>
            </w:r>
          </w:p>
        </w:tc>
        <w:tc>
          <w:tcPr>
            <w:tcW w:w="4050" w:type="dxa"/>
            <w:gridSpan w:val="4"/>
            <w:tcBorders>
              <w:top w:val="nil"/>
              <w:left w:val="nil"/>
              <w:bottom w:val="single" w:color="auto" w:sz="4" w:space="0"/>
              <w:right w:val="single" w:color="auto" w:sz="4" w:space="0"/>
            </w:tcBorders>
            <w:noWrap w:val="0"/>
            <w:vAlign w:val="center"/>
          </w:tcPr>
          <w:p w14:paraId="145B5DB0">
            <w:pPr>
              <w:widowControl/>
              <w:spacing w:line="240" w:lineRule="exact"/>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其中：基本支出：</w:t>
            </w:r>
            <w:r>
              <w:rPr>
                <w:rFonts w:hint="eastAsia" w:ascii="仿宋_GB2312" w:hAnsi="仿宋_GB2312" w:eastAsia="仿宋_GB2312" w:cs="仿宋_GB2312"/>
                <w:color w:val="auto"/>
                <w:sz w:val="20"/>
                <w:szCs w:val="20"/>
                <w:highlight w:val="none"/>
                <w:lang w:val="en-US" w:eastAsia="zh-CN"/>
              </w:rPr>
              <w:t>726.64</w:t>
            </w:r>
          </w:p>
        </w:tc>
      </w:tr>
      <w:tr w14:paraId="12BC94AD">
        <w:tblPrEx>
          <w:tblCellMar>
            <w:top w:w="0" w:type="dxa"/>
            <w:left w:w="108" w:type="dxa"/>
            <w:bottom w:w="0" w:type="dxa"/>
            <w:right w:w="108" w:type="dxa"/>
          </w:tblCellMar>
        </w:tblPrEx>
        <w:trPr>
          <w:jc w:val="center"/>
        </w:trPr>
        <w:tc>
          <w:tcPr>
            <w:tcW w:w="1050" w:type="dxa"/>
            <w:vMerge w:val="continue"/>
            <w:tcBorders>
              <w:left w:val="single" w:color="auto" w:sz="4" w:space="0"/>
              <w:right w:val="single" w:color="auto" w:sz="4" w:space="0"/>
            </w:tcBorders>
            <w:noWrap w:val="0"/>
            <w:vAlign w:val="center"/>
          </w:tcPr>
          <w:p w14:paraId="449E699C">
            <w:pPr>
              <w:widowControl/>
              <w:spacing w:line="240" w:lineRule="exact"/>
              <w:jc w:val="left"/>
              <w:rPr>
                <w:rFonts w:hint="eastAsia" w:ascii="仿宋_GB2312" w:hAnsi="仿宋_GB2312" w:eastAsia="仿宋_GB2312" w:cs="仿宋_GB2312"/>
                <w:color w:val="000000"/>
                <w:sz w:val="20"/>
                <w:szCs w:val="20"/>
                <w:highlight w:val="none"/>
              </w:rPr>
            </w:pPr>
          </w:p>
        </w:tc>
        <w:tc>
          <w:tcPr>
            <w:tcW w:w="4600" w:type="dxa"/>
            <w:gridSpan w:val="4"/>
            <w:tcBorders>
              <w:top w:val="nil"/>
              <w:left w:val="nil"/>
              <w:bottom w:val="single" w:color="auto" w:sz="4" w:space="0"/>
              <w:right w:val="single" w:color="auto" w:sz="4" w:space="0"/>
            </w:tcBorders>
            <w:noWrap w:val="0"/>
            <w:vAlign w:val="center"/>
          </w:tcPr>
          <w:p w14:paraId="03C7936D">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050" w:type="dxa"/>
            <w:gridSpan w:val="4"/>
            <w:tcBorders>
              <w:top w:val="nil"/>
              <w:left w:val="nil"/>
              <w:bottom w:val="single" w:color="auto" w:sz="4" w:space="0"/>
              <w:right w:val="single" w:color="auto" w:sz="4" w:space="0"/>
            </w:tcBorders>
            <w:noWrap w:val="0"/>
            <w:vAlign w:val="center"/>
          </w:tcPr>
          <w:p w14:paraId="06F6DB55">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393.57</w:t>
            </w:r>
          </w:p>
        </w:tc>
      </w:tr>
      <w:tr w14:paraId="683B2993">
        <w:tblPrEx>
          <w:tblCellMar>
            <w:top w:w="0" w:type="dxa"/>
            <w:left w:w="108" w:type="dxa"/>
            <w:bottom w:w="0" w:type="dxa"/>
            <w:right w:w="108" w:type="dxa"/>
          </w:tblCellMar>
        </w:tblPrEx>
        <w:trPr>
          <w:jc w:val="center"/>
        </w:trPr>
        <w:tc>
          <w:tcPr>
            <w:tcW w:w="1050" w:type="dxa"/>
            <w:vMerge w:val="continue"/>
            <w:tcBorders>
              <w:left w:val="single" w:color="auto" w:sz="4" w:space="0"/>
              <w:right w:val="single" w:color="auto" w:sz="4" w:space="0"/>
            </w:tcBorders>
            <w:noWrap w:val="0"/>
            <w:vAlign w:val="center"/>
          </w:tcPr>
          <w:p w14:paraId="73679D67">
            <w:pPr>
              <w:widowControl/>
              <w:spacing w:line="240" w:lineRule="exact"/>
              <w:jc w:val="left"/>
              <w:rPr>
                <w:rFonts w:hint="eastAsia" w:ascii="仿宋_GB2312" w:hAnsi="仿宋_GB2312" w:eastAsia="仿宋_GB2312" w:cs="仿宋_GB2312"/>
                <w:color w:val="000000"/>
                <w:sz w:val="20"/>
                <w:szCs w:val="20"/>
                <w:highlight w:val="none"/>
              </w:rPr>
            </w:pPr>
          </w:p>
        </w:tc>
        <w:tc>
          <w:tcPr>
            <w:tcW w:w="4600" w:type="dxa"/>
            <w:gridSpan w:val="4"/>
            <w:tcBorders>
              <w:top w:val="nil"/>
              <w:left w:val="nil"/>
              <w:bottom w:val="single" w:color="auto" w:sz="4" w:space="0"/>
              <w:right w:val="single" w:color="auto" w:sz="4" w:space="0"/>
            </w:tcBorders>
            <w:noWrap w:val="0"/>
            <w:vAlign w:val="center"/>
          </w:tcPr>
          <w:p w14:paraId="7719128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050" w:type="dxa"/>
            <w:gridSpan w:val="4"/>
            <w:tcBorders>
              <w:top w:val="nil"/>
              <w:left w:val="nil"/>
              <w:bottom w:val="single" w:color="auto" w:sz="4" w:space="0"/>
              <w:right w:val="single" w:color="auto" w:sz="4" w:space="0"/>
            </w:tcBorders>
            <w:noWrap w:val="0"/>
            <w:vAlign w:val="center"/>
          </w:tcPr>
          <w:p w14:paraId="1C650F00">
            <w:pPr>
              <w:widowControl/>
              <w:spacing w:line="240" w:lineRule="exact"/>
              <w:jc w:val="left"/>
              <w:rPr>
                <w:rFonts w:hint="eastAsia" w:ascii="仿宋_GB2312" w:hAnsi="仿宋_GB2312" w:eastAsia="仿宋_GB2312" w:cs="仿宋_GB2312"/>
                <w:color w:val="000000"/>
                <w:sz w:val="20"/>
                <w:szCs w:val="20"/>
                <w:highlight w:val="none"/>
              </w:rPr>
            </w:pPr>
          </w:p>
        </w:tc>
      </w:tr>
      <w:tr w14:paraId="5DAB9286">
        <w:tblPrEx>
          <w:tblCellMar>
            <w:top w:w="0" w:type="dxa"/>
            <w:left w:w="108" w:type="dxa"/>
            <w:bottom w:w="0" w:type="dxa"/>
            <w:right w:w="108" w:type="dxa"/>
          </w:tblCellMar>
        </w:tblPrEx>
        <w:trPr>
          <w:jc w:val="center"/>
        </w:trPr>
        <w:tc>
          <w:tcPr>
            <w:tcW w:w="1050" w:type="dxa"/>
            <w:vMerge w:val="continue"/>
            <w:tcBorders>
              <w:left w:val="single" w:color="auto" w:sz="4" w:space="0"/>
              <w:bottom w:val="single" w:color="000000" w:sz="4" w:space="0"/>
              <w:right w:val="single" w:color="auto" w:sz="4" w:space="0"/>
            </w:tcBorders>
            <w:noWrap w:val="0"/>
            <w:vAlign w:val="center"/>
          </w:tcPr>
          <w:p w14:paraId="1F02C757">
            <w:pPr>
              <w:widowControl/>
              <w:spacing w:line="240" w:lineRule="exact"/>
              <w:jc w:val="left"/>
              <w:rPr>
                <w:rFonts w:hint="eastAsia" w:ascii="仿宋_GB2312" w:hAnsi="仿宋_GB2312" w:eastAsia="仿宋_GB2312" w:cs="仿宋_GB2312"/>
                <w:color w:val="000000"/>
                <w:sz w:val="20"/>
                <w:szCs w:val="20"/>
                <w:highlight w:val="none"/>
              </w:rPr>
            </w:pPr>
          </w:p>
        </w:tc>
        <w:tc>
          <w:tcPr>
            <w:tcW w:w="4600" w:type="dxa"/>
            <w:gridSpan w:val="4"/>
            <w:tcBorders>
              <w:top w:val="nil"/>
              <w:left w:val="nil"/>
              <w:bottom w:val="single" w:color="auto" w:sz="4" w:space="0"/>
              <w:right w:val="single" w:color="auto" w:sz="4" w:space="0"/>
            </w:tcBorders>
            <w:noWrap w:val="0"/>
            <w:vAlign w:val="center"/>
          </w:tcPr>
          <w:p w14:paraId="31348FF9">
            <w:pPr>
              <w:widowControl/>
              <w:spacing w:line="240" w:lineRule="exact"/>
              <w:ind w:firstLine="1400" w:firstLineChars="7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w:t>
            </w:r>
          </w:p>
        </w:tc>
        <w:tc>
          <w:tcPr>
            <w:tcW w:w="4050" w:type="dxa"/>
            <w:gridSpan w:val="4"/>
            <w:tcBorders>
              <w:top w:val="nil"/>
              <w:left w:val="nil"/>
              <w:bottom w:val="single" w:color="auto" w:sz="4" w:space="0"/>
              <w:right w:val="single" w:color="auto" w:sz="4" w:space="0"/>
            </w:tcBorders>
            <w:noWrap w:val="0"/>
            <w:vAlign w:val="center"/>
          </w:tcPr>
          <w:p w14:paraId="6A1ED870">
            <w:pPr>
              <w:widowControl/>
              <w:spacing w:line="240" w:lineRule="exact"/>
              <w:jc w:val="left"/>
              <w:rPr>
                <w:rFonts w:hint="eastAsia" w:ascii="仿宋_GB2312" w:hAnsi="仿宋_GB2312" w:eastAsia="仿宋_GB2312" w:cs="仿宋_GB2312"/>
                <w:color w:val="000000"/>
                <w:sz w:val="20"/>
                <w:szCs w:val="20"/>
                <w:highlight w:val="none"/>
              </w:rPr>
            </w:pPr>
          </w:p>
        </w:tc>
      </w:tr>
      <w:tr w14:paraId="3B32B379">
        <w:tblPrEx>
          <w:tblCellMar>
            <w:top w:w="0" w:type="dxa"/>
            <w:left w:w="108" w:type="dxa"/>
            <w:bottom w:w="0" w:type="dxa"/>
            <w:right w:w="108" w:type="dxa"/>
          </w:tblCellMar>
        </w:tblPrEx>
        <w:trPr>
          <w:jc w:val="center"/>
        </w:trPr>
        <w:tc>
          <w:tcPr>
            <w:tcW w:w="1050" w:type="dxa"/>
            <w:vMerge w:val="restart"/>
            <w:tcBorders>
              <w:top w:val="nil"/>
              <w:left w:val="single" w:color="auto" w:sz="4" w:space="0"/>
              <w:bottom w:val="single" w:color="000000" w:sz="4" w:space="0"/>
              <w:right w:val="single" w:color="auto" w:sz="4" w:space="0"/>
            </w:tcBorders>
            <w:noWrap w:val="0"/>
            <w:vAlign w:val="center"/>
          </w:tcPr>
          <w:p w14:paraId="20B6DBB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00" w:type="dxa"/>
            <w:gridSpan w:val="4"/>
            <w:tcBorders>
              <w:top w:val="single" w:color="auto" w:sz="4" w:space="0"/>
              <w:left w:val="nil"/>
              <w:bottom w:val="single" w:color="auto" w:sz="4" w:space="0"/>
              <w:right w:val="single" w:color="000000" w:sz="4" w:space="0"/>
            </w:tcBorders>
            <w:noWrap w:val="0"/>
            <w:vAlign w:val="center"/>
          </w:tcPr>
          <w:p w14:paraId="7BA1F7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50" w:type="dxa"/>
            <w:gridSpan w:val="4"/>
            <w:tcBorders>
              <w:top w:val="single" w:color="auto" w:sz="4" w:space="0"/>
              <w:left w:val="nil"/>
              <w:bottom w:val="single" w:color="auto" w:sz="4" w:space="0"/>
              <w:right w:val="single" w:color="auto" w:sz="4" w:space="0"/>
            </w:tcBorders>
            <w:noWrap w:val="0"/>
            <w:vAlign w:val="center"/>
          </w:tcPr>
          <w:p w14:paraId="24DBE41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21075E4">
        <w:tblPrEx>
          <w:tblCellMar>
            <w:top w:w="0" w:type="dxa"/>
            <w:left w:w="108" w:type="dxa"/>
            <w:bottom w:w="0" w:type="dxa"/>
            <w:right w:w="108" w:type="dxa"/>
          </w:tblCellMar>
        </w:tblPrEx>
        <w:trPr>
          <w:trHeight w:val="3237" w:hRule="atLeast"/>
          <w:jc w:val="center"/>
        </w:trPr>
        <w:tc>
          <w:tcPr>
            <w:tcW w:w="1050" w:type="dxa"/>
            <w:vMerge w:val="continue"/>
            <w:tcBorders>
              <w:top w:val="nil"/>
              <w:left w:val="single" w:color="auto" w:sz="4" w:space="0"/>
              <w:bottom w:val="single" w:color="000000" w:sz="4" w:space="0"/>
              <w:right w:val="single" w:color="auto" w:sz="4" w:space="0"/>
            </w:tcBorders>
            <w:noWrap w:val="0"/>
            <w:vAlign w:val="center"/>
          </w:tcPr>
          <w:p w14:paraId="739C46F7">
            <w:pPr>
              <w:widowControl/>
              <w:spacing w:line="240" w:lineRule="exact"/>
              <w:jc w:val="left"/>
              <w:rPr>
                <w:rFonts w:hint="eastAsia" w:ascii="仿宋_GB2312" w:hAnsi="仿宋_GB2312" w:eastAsia="仿宋_GB2312" w:cs="仿宋_GB2312"/>
                <w:color w:val="000000"/>
                <w:sz w:val="20"/>
                <w:szCs w:val="20"/>
                <w:highlight w:val="none"/>
              </w:rPr>
            </w:pPr>
          </w:p>
        </w:tc>
        <w:tc>
          <w:tcPr>
            <w:tcW w:w="4600" w:type="dxa"/>
            <w:gridSpan w:val="4"/>
            <w:tcBorders>
              <w:top w:val="single" w:color="auto" w:sz="4" w:space="0"/>
              <w:left w:val="nil"/>
              <w:bottom w:val="single" w:color="auto" w:sz="4" w:space="0"/>
              <w:right w:val="single" w:color="000000" w:sz="4" w:space="0"/>
            </w:tcBorders>
            <w:noWrap w:val="0"/>
            <w:vAlign w:val="center"/>
          </w:tcPr>
          <w:p w14:paraId="67E165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知重负重、顶压奋进，财税质量有新提高；积极求为，精准助推，争资争项有新突破；攻坚克难、提速发力，财政改革取得新成效；积极探索，大力创新，“三资”改革获得新成绩；加强监督，促进规范，财政管理提升新绩效；凝心聚力，激发活力，队伍建设迈上新台阶。　</w:t>
            </w:r>
          </w:p>
        </w:tc>
        <w:tc>
          <w:tcPr>
            <w:tcW w:w="4050" w:type="dxa"/>
            <w:gridSpan w:val="4"/>
            <w:tcBorders>
              <w:top w:val="single" w:color="auto" w:sz="4" w:space="0"/>
              <w:left w:val="nil"/>
              <w:bottom w:val="single" w:color="auto" w:sz="4" w:space="0"/>
              <w:right w:val="single" w:color="auto" w:sz="4" w:space="0"/>
            </w:tcBorders>
            <w:noWrap w:val="0"/>
            <w:vAlign w:val="center"/>
          </w:tcPr>
          <w:p w14:paraId="6BC02B76">
            <w:pPr>
              <w:widowControl/>
              <w:numPr>
                <w:ilvl w:val="0"/>
                <w:numId w:val="2"/>
              </w:num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组织收入</w:t>
            </w:r>
            <w:r>
              <w:rPr>
                <w:rFonts w:hint="eastAsia" w:ascii="仿宋_GB2312" w:hAnsi="仿宋_GB2312" w:eastAsia="仿宋_GB2312" w:cs="仿宋_GB2312"/>
                <w:color w:val="000000"/>
                <w:sz w:val="20"/>
                <w:szCs w:val="20"/>
                <w:highlight w:val="none"/>
                <w:lang w:eastAsia="zh-CN"/>
              </w:rPr>
              <w:t>积极有为：</w:t>
            </w:r>
            <w:r>
              <w:rPr>
                <w:rFonts w:hint="eastAsia" w:ascii="仿宋_GB2312" w:hAnsi="仿宋_GB2312" w:eastAsia="仿宋_GB2312" w:cs="仿宋_GB2312"/>
                <w:color w:val="000000"/>
                <w:sz w:val="20"/>
                <w:szCs w:val="20"/>
                <w:highlight w:val="none"/>
              </w:rPr>
              <w:t>千方百计稳</w:t>
            </w:r>
            <w:r>
              <w:rPr>
                <w:rFonts w:hint="eastAsia" w:ascii="仿宋_GB2312" w:hAnsi="仿宋_GB2312" w:eastAsia="仿宋_GB2312" w:cs="仿宋_GB2312"/>
                <w:color w:val="000000"/>
                <w:sz w:val="20"/>
                <w:szCs w:val="20"/>
                <w:highlight w:val="none"/>
                <w:lang w:eastAsia="zh-CN"/>
              </w:rPr>
              <w:t>住</w:t>
            </w:r>
            <w:r>
              <w:rPr>
                <w:rFonts w:hint="eastAsia" w:ascii="仿宋_GB2312" w:hAnsi="仿宋_GB2312" w:eastAsia="仿宋_GB2312" w:cs="仿宋_GB2312"/>
                <w:color w:val="000000"/>
                <w:sz w:val="20"/>
                <w:szCs w:val="20"/>
                <w:highlight w:val="none"/>
              </w:rPr>
              <w:t>收入盘子</w:t>
            </w:r>
            <w:r>
              <w:rPr>
                <w:rFonts w:hint="eastAsia" w:ascii="仿宋_GB2312" w:hAnsi="仿宋_GB2312" w:eastAsia="仿宋_GB2312" w:cs="仿宋_GB2312"/>
                <w:color w:val="000000"/>
                <w:sz w:val="20"/>
                <w:szCs w:val="20"/>
                <w:highlight w:val="none"/>
                <w:lang w:eastAsia="zh-CN"/>
              </w:rPr>
              <w:t>；多措并举争资争项；</w:t>
            </w:r>
            <w:r>
              <w:rPr>
                <w:rFonts w:hint="eastAsia" w:ascii="仿宋_GB2312" w:hAnsi="仿宋_GB2312" w:eastAsia="仿宋_GB2312" w:cs="仿宋_GB2312"/>
                <w:color w:val="000000"/>
                <w:sz w:val="20"/>
                <w:szCs w:val="20"/>
                <w:highlight w:val="none"/>
              </w:rPr>
              <w:t>有力推进“三资”盘活</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lang w:eastAsia="zh-CN"/>
              </w:rPr>
              <w:t>支出结构持续优化：</w:t>
            </w:r>
            <w:r>
              <w:rPr>
                <w:rFonts w:hint="eastAsia" w:ascii="仿宋_GB2312" w:hAnsi="仿宋_GB2312" w:eastAsia="仿宋_GB2312" w:cs="仿宋_GB2312"/>
                <w:color w:val="000000"/>
                <w:sz w:val="20"/>
                <w:szCs w:val="20"/>
                <w:highlight w:val="none"/>
              </w:rPr>
              <w:t>坚持统筹兼顾，切实兜牢“三保”支出</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坚决落实过紧日子要求</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坚持惠农惠民。3. 财政管理提质</w:t>
            </w:r>
            <w:r>
              <w:rPr>
                <w:rFonts w:hint="eastAsia" w:ascii="仿宋_GB2312" w:hAnsi="仿宋_GB2312" w:eastAsia="仿宋_GB2312" w:cs="仿宋_GB2312"/>
                <w:color w:val="000000"/>
                <w:sz w:val="20"/>
                <w:szCs w:val="20"/>
                <w:highlight w:val="none"/>
                <w:lang w:eastAsia="zh-CN"/>
              </w:rPr>
              <w:t>增</w:t>
            </w:r>
            <w:r>
              <w:rPr>
                <w:rFonts w:hint="eastAsia" w:ascii="仿宋_GB2312" w:hAnsi="仿宋_GB2312" w:eastAsia="仿宋_GB2312" w:cs="仿宋_GB2312"/>
                <w:color w:val="000000"/>
                <w:sz w:val="20"/>
                <w:szCs w:val="20"/>
                <w:highlight w:val="none"/>
              </w:rPr>
              <w:t>效</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投资评审持续推进；政府采购坚实有效；</w:t>
            </w:r>
            <w:r>
              <w:rPr>
                <w:rFonts w:hint="eastAsia" w:ascii="仿宋_GB2312" w:hAnsi="仿宋_GB2312" w:eastAsia="仿宋_GB2312" w:cs="仿宋_GB2312"/>
                <w:color w:val="000000"/>
                <w:sz w:val="20"/>
                <w:szCs w:val="20"/>
                <w:highlight w:val="none"/>
              </w:rPr>
              <w:t>绩效管理全面实施。</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lang w:eastAsia="zh-CN"/>
              </w:rPr>
              <w:t>风险防控抗压前行：</w:t>
            </w:r>
            <w:r>
              <w:rPr>
                <w:rFonts w:hint="eastAsia" w:ascii="仿宋_GB2312" w:hAnsi="仿宋_GB2312" w:eastAsia="仿宋_GB2312" w:cs="仿宋_GB2312"/>
                <w:color w:val="000000"/>
                <w:sz w:val="20"/>
                <w:szCs w:val="20"/>
                <w:highlight w:val="none"/>
                <w:lang w:val="en-US" w:eastAsia="zh-CN"/>
              </w:rPr>
              <w:t>强化库款调度；</w:t>
            </w:r>
            <w:r>
              <w:rPr>
                <w:rFonts w:hint="eastAsia" w:ascii="仿宋_GB2312" w:hAnsi="仿宋_GB2312" w:eastAsia="仿宋_GB2312" w:cs="仿宋_GB2312"/>
                <w:color w:val="000000"/>
                <w:sz w:val="20"/>
                <w:szCs w:val="20"/>
                <w:highlight w:val="none"/>
                <w:lang w:eastAsia="zh-CN"/>
              </w:rPr>
              <w:t>债务率进一步下降；</w:t>
            </w:r>
            <w:r>
              <w:rPr>
                <w:rFonts w:hint="eastAsia" w:ascii="仿宋_GB2312" w:hAnsi="仿宋_GB2312" w:eastAsia="仿宋_GB2312" w:cs="仿宋_GB2312"/>
                <w:color w:val="000000"/>
                <w:sz w:val="20"/>
                <w:szCs w:val="20"/>
                <w:highlight w:val="none"/>
                <w:lang w:val="en-US" w:eastAsia="zh-CN"/>
              </w:rPr>
              <w:t>积极偿还债务。</w:t>
            </w:r>
            <w:r>
              <w:rPr>
                <w:rFonts w:hint="eastAsia" w:ascii="仿宋_GB2312" w:hAnsi="仿宋_GB2312" w:eastAsia="仿宋_GB2312" w:cs="仿宋_GB2312"/>
                <w:color w:val="000000"/>
                <w:sz w:val="20"/>
                <w:szCs w:val="20"/>
                <w:highlight w:val="none"/>
              </w:rPr>
              <w:t>5.财会监督</w:t>
            </w:r>
            <w:r>
              <w:rPr>
                <w:rFonts w:hint="eastAsia" w:ascii="仿宋_GB2312" w:hAnsi="仿宋_GB2312" w:eastAsia="仿宋_GB2312" w:cs="仿宋_GB2312"/>
                <w:color w:val="000000"/>
                <w:sz w:val="20"/>
                <w:szCs w:val="20"/>
                <w:highlight w:val="none"/>
                <w:lang w:eastAsia="zh-CN"/>
              </w:rPr>
              <w:t>得到</w:t>
            </w:r>
            <w:r>
              <w:rPr>
                <w:rFonts w:hint="eastAsia" w:ascii="仿宋_GB2312" w:hAnsi="仿宋_GB2312" w:eastAsia="仿宋_GB2312" w:cs="仿宋_GB2312"/>
                <w:color w:val="000000"/>
                <w:sz w:val="20"/>
                <w:szCs w:val="20"/>
                <w:highlight w:val="none"/>
              </w:rPr>
              <w:t>加强</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eastAsia="zh-Hans"/>
              </w:rPr>
              <w:t>加强</w:t>
            </w:r>
            <w:r>
              <w:rPr>
                <w:rFonts w:hint="eastAsia" w:ascii="仿宋_GB2312" w:hAnsi="仿宋_GB2312" w:eastAsia="仿宋_GB2312" w:cs="仿宋_GB2312"/>
                <w:color w:val="000000"/>
                <w:sz w:val="20"/>
                <w:szCs w:val="20"/>
                <w:highlight w:val="none"/>
                <w:lang w:eastAsia="zh-CN"/>
              </w:rPr>
              <w:t>财会监督；加强</w:t>
            </w:r>
            <w:r>
              <w:rPr>
                <w:rFonts w:hint="eastAsia" w:ascii="仿宋_GB2312" w:hAnsi="仿宋_GB2312" w:eastAsia="仿宋_GB2312" w:cs="仿宋_GB2312"/>
                <w:color w:val="000000"/>
                <w:sz w:val="20"/>
                <w:szCs w:val="20"/>
                <w:highlight w:val="none"/>
              </w:rPr>
              <w:t>镇村财务监管</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建立问题线索移送机制和财会监督报告制度。</w:t>
            </w:r>
            <w:r>
              <w:rPr>
                <w:rFonts w:hint="eastAsia" w:ascii="仿宋_GB2312" w:hAnsi="仿宋_GB2312" w:eastAsia="仿宋_GB2312" w:cs="仿宋_GB2312"/>
                <w:color w:val="000000"/>
                <w:sz w:val="20"/>
                <w:szCs w:val="20"/>
                <w:highlight w:val="none"/>
                <w:lang w:val="en-US" w:eastAsia="zh-CN"/>
              </w:rPr>
              <w:t>6.队伍建设稳步推进：</w:t>
            </w:r>
            <w:r>
              <w:rPr>
                <w:rFonts w:hint="eastAsia" w:ascii="仿宋_GB2312" w:hAnsi="仿宋_GB2312" w:eastAsia="仿宋_GB2312" w:cs="仿宋_GB2312"/>
                <w:color w:val="000000"/>
                <w:sz w:val="20"/>
                <w:szCs w:val="20"/>
                <w:highlight w:val="none"/>
              </w:rPr>
              <w:t>抓责任落实</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抓</w:t>
            </w:r>
            <w:r>
              <w:rPr>
                <w:rFonts w:hint="eastAsia" w:ascii="仿宋_GB2312" w:hAnsi="仿宋_GB2312" w:eastAsia="仿宋_GB2312" w:cs="仿宋_GB2312"/>
                <w:color w:val="000000"/>
                <w:sz w:val="20"/>
                <w:szCs w:val="20"/>
                <w:highlight w:val="none"/>
              </w:rPr>
              <w:t>意识形态</w:t>
            </w:r>
            <w:r>
              <w:rPr>
                <w:rFonts w:hint="eastAsia" w:ascii="仿宋_GB2312" w:hAnsi="仿宋_GB2312" w:eastAsia="仿宋_GB2312" w:cs="仿宋_GB2312"/>
                <w:color w:val="000000"/>
                <w:sz w:val="20"/>
                <w:szCs w:val="20"/>
                <w:highlight w:val="none"/>
                <w:lang w:val="en-US" w:eastAsia="zh-CN"/>
              </w:rPr>
              <w:t>工作</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抓作风建设</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抓学习培训。</w:t>
            </w:r>
          </w:p>
          <w:p w14:paraId="7395DE07">
            <w:pPr>
              <w:pStyle w:val="2"/>
              <w:numPr>
                <w:ilvl w:val="0"/>
                <w:numId w:val="0"/>
              </w:numPr>
              <w:rPr>
                <w:rFonts w:hint="eastAsia"/>
              </w:rPr>
            </w:pPr>
          </w:p>
        </w:tc>
      </w:tr>
      <w:tr w14:paraId="2C1E2445">
        <w:tblPrEx>
          <w:tblCellMar>
            <w:top w:w="0" w:type="dxa"/>
            <w:left w:w="108" w:type="dxa"/>
            <w:bottom w:w="0" w:type="dxa"/>
            <w:right w:w="108" w:type="dxa"/>
          </w:tblCellMar>
        </w:tblPrEx>
        <w:trPr>
          <w:jc w:val="center"/>
        </w:trPr>
        <w:tc>
          <w:tcPr>
            <w:tcW w:w="1050" w:type="dxa"/>
            <w:vMerge w:val="restart"/>
            <w:tcBorders>
              <w:top w:val="single" w:color="auto" w:sz="4" w:space="0"/>
              <w:left w:val="single" w:color="auto" w:sz="4" w:space="0"/>
              <w:right w:val="single" w:color="auto" w:sz="4" w:space="0"/>
            </w:tcBorders>
            <w:noWrap w:val="0"/>
            <w:vAlign w:val="center"/>
          </w:tcPr>
          <w:p w14:paraId="4CD8AC8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D0188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EB4D4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189E5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CE7C3DC">
            <w:pPr>
              <w:widowControl/>
              <w:spacing w:line="240" w:lineRule="exact"/>
              <w:jc w:val="center"/>
              <w:rPr>
                <w:rFonts w:hint="eastAsia" w:ascii="仿宋_GB2312" w:hAnsi="仿宋_GB2312" w:eastAsia="仿宋_GB2312" w:cs="仿宋_GB2312"/>
                <w:color w:val="000000"/>
                <w:sz w:val="20"/>
                <w:szCs w:val="20"/>
                <w:highlight w:val="none"/>
              </w:rPr>
            </w:pPr>
          </w:p>
        </w:tc>
        <w:tc>
          <w:tcPr>
            <w:tcW w:w="780" w:type="dxa"/>
            <w:tcBorders>
              <w:top w:val="single" w:color="auto" w:sz="4" w:space="0"/>
              <w:left w:val="nil"/>
              <w:bottom w:val="single" w:color="auto" w:sz="4" w:space="0"/>
              <w:right w:val="single" w:color="auto" w:sz="4" w:space="0"/>
            </w:tcBorders>
            <w:noWrap w:val="0"/>
            <w:vAlign w:val="center"/>
          </w:tcPr>
          <w:p w14:paraId="237044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40" w:type="dxa"/>
            <w:tcBorders>
              <w:top w:val="nil"/>
              <w:left w:val="nil"/>
              <w:bottom w:val="single" w:color="auto" w:sz="4" w:space="0"/>
              <w:right w:val="single" w:color="auto" w:sz="4" w:space="0"/>
            </w:tcBorders>
            <w:noWrap w:val="0"/>
            <w:vAlign w:val="center"/>
          </w:tcPr>
          <w:p w14:paraId="656960C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740" w:type="dxa"/>
            <w:tcBorders>
              <w:top w:val="nil"/>
              <w:left w:val="nil"/>
              <w:bottom w:val="single" w:color="auto" w:sz="4" w:space="0"/>
              <w:right w:val="single" w:color="auto" w:sz="4" w:space="0"/>
            </w:tcBorders>
            <w:noWrap w:val="0"/>
            <w:vAlign w:val="center"/>
          </w:tcPr>
          <w:p w14:paraId="3426D4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40" w:type="dxa"/>
            <w:tcBorders>
              <w:top w:val="nil"/>
              <w:left w:val="nil"/>
              <w:bottom w:val="single" w:color="auto" w:sz="4" w:space="0"/>
              <w:right w:val="single" w:color="auto" w:sz="4" w:space="0"/>
            </w:tcBorders>
            <w:noWrap w:val="0"/>
            <w:vAlign w:val="center"/>
          </w:tcPr>
          <w:p w14:paraId="46C6622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730" w:type="dxa"/>
            <w:tcBorders>
              <w:top w:val="nil"/>
              <w:left w:val="nil"/>
              <w:bottom w:val="single" w:color="auto" w:sz="4" w:space="0"/>
              <w:right w:val="single" w:color="auto" w:sz="4" w:space="0"/>
            </w:tcBorders>
            <w:noWrap w:val="0"/>
            <w:vAlign w:val="center"/>
          </w:tcPr>
          <w:p w14:paraId="64785FC2">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50" w:type="dxa"/>
            <w:tcBorders>
              <w:top w:val="nil"/>
              <w:left w:val="nil"/>
              <w:bottom w:val="single" w:color="auto" w:sz="4" w:space="0"/>
              <w:right w:val="single" w:color="auto" w:sz="4" w:space="0"/>
            </w:tcBorders>
            <w:noWrap w:val="0"/>
            <w:vAlign w:val="center"/>
          </w:tcPr>
          <w:p w14:paraId="01DB57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50" w:type="dxa"/>
            <w:tcBorders>
              <w:top w:val="nil"/>
              <w:left w:val="nil"/>
              <w:bottom w:val="single" w:color="auto" w:sz="4" w:space="0"/>
              <w:right w:val="single" w:color="auto" w:sz="4" w:space="0"/>
            </w:tcBorders>
            <w:noWrap w:val="0"/>
            <w:vAlign w:val="center"/>
          </w:tcPr>
          <w:p w14:paraId="6F9F417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20" w:type="dxa"/>
            <w:tcBorders>
              <w:top w:val="nil"/>
              <w:left w:val="nil"/>
              <w:bottom w:val="single" w:color="auto" w:sz="4" w:space="0"/>
              <w:right w:val="single" w:color="auto" w:sz="4" w:space="0"/>
            </w:tcBorders>
            <w:noWrap w:val="0"/>
            <w:vAlign w:val="center"/>
          </w:tcPr>
          <w:p w14:paraId="49AF290D">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5B517AF">
        <w:tblPrEx>
          <w:tblCellMar>
            <w:top w:w="0" w:type="dxa"/>
            <w:left w:w="108" w:type="dxa"/>
            <w:bottom w:w="0" w:type="dxa"/>
            <w:right w:w="108" w:type="dxa"/>
          </w:tblCellMar>
        </w:tblPrEx>
        <w:trPr>
          <w:jc w:val="center"/>
        </w:trPr>
        <w:tc>
          <w:tcPr>
            <w:tcW w:w="1050" w:type="dxa"/>
            <w:vMerge w:val="continue"/>
            <w:tcBorders>
              <w:left w:val="single" w:color="auto" w:sz="4" w:space="0"/>
              <w:bottom w:val="single" w:color="auto" w:sz="4" w:space="0"/>
              <w:right w:val="single" w:color="auto" w:sz="4" w:space="0"/>
            </w:tcBorders>
            <w:noWrap w:val="0"/>
            <w:vAlign w:val="center"/>
          </w:tcPr>
          <w:p w14:paraId="121282F7">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310D08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A3D0D4A">
            <w:pPr>
              <w:widowControl/>
              <w:spacing w:line="240" w:lineRule="exact"/>
              <w:jc w:val="center"/>
              <w:rPr>
                <w:rFonts w:hint="eastAsia" w:ascii="仿宋_GB2312" w:hAnsi="仿宋_GB2312" w:eastAsia="仿宋_GB2312" w:cs="仿宋_GB2312"/>
                <w:color w:val="000000"/>
                <w:sz w:val="20"/>
                <w:szCs w:val="20"/>
                <w:highlight w:val="none"/>
              </w:rPr>
            </w:pPr>
          </w:p>
          <w:p w14:paraId="3E5D6E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14:paraId="4632EC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740" w:type="dxa"/>
            <w:tcBorders>
              <w:top w:val="nil"/>
              <w:left w:val="nil"/>
              <w:bottom w:val="single" w:color="auto" w:sz="4" w:space="0"/>
              <w:right w:val="single" w:color="auto" w:sz="4" w:space="0"/>
            </w:tcBorders>
            <w:noWrap w:val="0"/>
            <w:vAlign w:val="center"/>
          </w:tcPr>
          <w:p w14:paraId="33DD5F1A">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4"/>
                <w:szCs w:val="14"/>
                <w:u w:val="none"/>
                <w:lang w:val="en-US" w:eastAsia="zh-CN" w:bidi="ar"/>
              </w:rPr>
              <w:t>积极组织收入</w:t>
            </w:r>
          </w:p>
        </w:tc>
        <w:tc>
          <w:tcPr>
            <w:tcW w:w="940" w:type="dxa"/>
            <w:tcBorders>
              <w:top w:val="nil"/>
              <w:left w:val="nil"/>
              <w:bottom w:val="single" w:color="auto" w:sz="4" w:space="0"/>
              <w:right w:val="single" w:color="auto" w:sz="4" w:space="0"/>
            </w:tcBorders>
            <w:noWrap w:val="0"/>
            <w:vAlign w:val="center"/>
          </w:tcPr>
          <w:p w14:paraId="49FD9F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6"/>
                <w:szCs w:val="16"/>
                <w:u w:val="none"/>
                <w:lang w:val="en-US" w:eastAsia="zh-CN" w:bidi="ar"/>
              </w:rPr>
              <w:t>5.522</w:t>
            </w:r>
          </w:p>
        </w:tc>
        <w:tc>
          <w:tcPr>
            <w:tcW w:w="1730" w:type="dxa"/>
            <w:tcBorders>
              <w:top w:val="nil"/>
              <w:left w:val="nil"/>
              <w:bottom w:val="single" w:color="auto" w:sz="4" w:space="0"/>
              <w:right w:val="single" w:color="auto" w:sz="4" w:space="0"/>
            </w:tcBorders>
            <w:noWrap w:val="0"/>
            <w:vAlign w:val="center"/>
          </w:tcPr>
          <w:p w14:paraId="3E3A013C">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5.65亿元</w:t>
            </w:r>
          </w:p>
        </w:tc>
        <w:tc>
          <w:tcPr>
            <w:tcW w:w="650" w:type="dxa"/>
            <w:tcBorders>
              <w:top w:val="nil"/>
              <w:left w:val="nil"/>
              <w:bottom w:val="single" w:color="auto" w:sz="4" w:space="0"/>
              <w:right w:val="single" w:color="auto" w:sz="4" w:space="0"/>
            </w:tcBorders>
            <w:noWrap w:val="0"/>
            <w:vAlign w:val="center"/>
          </w:tcPr>
          <w:p w14:paraId="2B76327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0" w:type="dxa"/>
            <w:tcBorders>
              <w:top w:val="nil"/>
              <w:left w:val="nil"/>
              <w:bottom w:val="single" w:color="auto" w:sz="4" w:space="0"/>
              <w:right w:val="single" w:color="auto" w:sz="4" w:space="0"/>
            </w:tcBorders>
            <w:noWrap w:val="0"/>
            <w:vAlign w:val="center"/>
          </w:tcPr>
          <w:p w14:paraId="4B0ECB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20" w:type="dxa"/>
            <w:tcBorders>
              <w:top w:val="nil"/>
              <w:left w:val="nil"/>
              <w:bottom w:val="single" w:color="auto" w:sz="4" w:space="0"/>
              <w:right w:val="single" w:color="auto" w:sz="4" w:space="0"/>
            </w:tcBorders>
            <w:noWrap w:val="0"/>
            <w:vAlign w:val="center"/>
          </w:tcPr>
          <w:p w14:paraId="4ADB8C3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12FE9F15">
        <w:tblPrEx>
          <w:tblCellMar>
            <w:top w:w="0" w:type="dxa"/>
            <w:left w:w="108" w:type="dxa"/>
            <w:bottom w:w="0" w:type="dxa"/>
            <w:right w:w="108" w:type="dxa"/>
          </w:tblCellMar>
        </w:tblPrEx>
        <w:trPr>
          <w:trHeight w:val="322"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57058293">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42D62267">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3ECA87C0">
            <w:pPr>
              <w:spacing w:line="240" w:lineRule="exact"/>
              <w:jc w:val="center"/>
              <w:rPr>
                <w:rFonts w:hint="eastAsia" w:ascii="仿宋_GB2312" w:hAnsi="仿宋_GB2312" w:eastAsia="仿宋_GB2312" w:cs="仿宋_GB2312"/>
                <w:color w:val="000000"/>
                <w:sz w:val="20"/>
                <w:szCs w:val="20"/>
                <w:highlight w:val="none"/>
              </w:rPr>
            </w:pPr>
          </w:p>
        </w:tc>
        <w:tc>
          <w:tcPr>
            <w:tcW w:w="1740" w:type="dxa"/>
            <w:tcBorders>
              <w:top w:val="nil"/>
              <w:left w:val="nil"/>
              <w:bottom w:val="single" w:color="auto" w:sz="4" w:space="0"/>
              <w:right w:val="single" w:color="auto" w:sz="4" w:space="0"/>
            </w:tcBorders>
            <w:noWrap w:val="0"/>
            <w:vAlign w:val="center"/>
          </w:tcPr>
          <w:p w14:paraId="78A1B804">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4"/>
                <w:szCs w:val="14"/>
                <w:u w:val="none"/>
                <w:lang w:val="en-US" w:eastAsia="zh-CN" w:bidi="ar"/>
              </w:rPr>
              <w:t>加强支出管理</w:t>
            </w:r>
          </w:p>
        </w:tc>
        <w:tc>
          <w:tcPr>
            <w:tcW w:w="940" w:type="dxa"/>
            <w:tcBorders>
              <w:top w:val="nil"/>
              <w:left w:val="nil"/>
              <w:bottom w:val="single" w:color="auto" w:sz="4" w:space="0"/>
              <w:right w:val="single" w:color="auto" w:sz="4" w:space="0"/>
            </w:tcBorders>
            <w:noWrap w:val="0"/>
            <w:vAlign w:val="center"/>
          </w:tcPr>
          <w:p w14:paraId="7FB01A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6"/>
                <w:szCs w:val="16"/>
                <w:u w:val="none"/>
                <w:lang w:val="en-US" w:eastAsia="zh-CN" w:bidi="ar"/>
              </w:rPr>
              <w:t>14.1263</w:t>
            </w:r>
          </w:p>
        </w:tc>
        <w:tc>
          <w:tcPr>
            <w:tcW w:w="1730" w:type="dxa"/>
            <w:tcBorders>
              <w:top w:val="nil"/>
              <w:left w:val="nil"/>
              <w:bottom w:val="single" w:color="auto" w:sz="4" w:space="0"/>
              <w:right w:val="single" w:color="auto" w:sz="4" w:space="0"/>
            </w:tcBorders>
            <w:noWrap w:val="0"/>
            <w:vAlign w:val="center"/>
          </w:tcPr>
          <w:p w14:paraId="6E7C1D83">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26.28亿元</w:t>
            </w:r>
          </w:p>
        </w:tc>
        <w:tc>
          <w:tcPr>
            <w:tcW w:w="650" w:type="dxa"/>
            <w:tcBorders>
              <w:top w:val="nil"/>
              <w:left w:val="nil"/>
              <w:bottom w:val="single" w:color="auto" w:sz="4" w:space="0"/>
              <w:right w:val="single" w:color="auto" w:sz="4" w:space="0"/>
            </w:tcBorders>
            <w:noWrap w:val="0"/>
            <w:vAlign w:val="center"/>
          </w:tcPr>
          <w:p w14:paraId="07B6803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0" w:type="dxa"/>
            <w:tcBorders>
              <w:top w:val="nil"/>
              <w:left w:val="nil"/>
              <w:bottom w:val="single" w:color="auto" w:sz="4" w:space="0"/>
              <w:right w:val="single" w:color="auto" w:sz="4" w:space="0"/>
            </w:tcBorders>
            <w:noWrap w:val="0"/>
            <w:vAlign w:val="center"/>
          </w:tcPr>
          <w:p w14:paraId="4E7266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20" w:type="dxa"/>
            <w:tcBorders>
              <w:top w:val="nil"/>
              <w:left w:val="nil"/>
              <w:bottom w:val="single" w:color="auto" w:sz="4" w:space="0"/>
              <w:right w:val="single" w:color="auto" w:sz="4" w:space="0"/>
            </w:tcBorders>
            <w:noWrap w:val="0"/>
            <w:vAlign w:val="center"/>
          </w:tcPr>
          <w:p w14:paraId="563FF5B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591B4A79">
        <w:tblPrEx>
          <w:tblCellMar>
            <w:top w:w="0" w:type="dxa"/>
            <w:left w:w="108" w:type="dxa"/>
            <w:bottom w:w="0" w:type="dxa"/>
            <w:right w:w="108" w:type="dxa"/>
          </w:tblCellMar>
        </w:tblPrEx>
        <w:trPr>
          <w:trHeight w:val="90"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6438E3B0">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19BA9EC4">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37742CDA">
            <w:pPr>
              <w:widowControl/>
              <w:spacing w:line="240" w:lineRule="exact"/>
              <w:jc w:val="center"/>
              <w:rPr>
                <w:rFonts w:hint="eastAsia" w:ascii="仿宋_GB2312" w:hAnsi="仿宋_GB2312" w:eastAsia="仿宋_GB2312" w:cs="仿宋_GB2312"/>
                <w:color w:val="000000"/>
                <w:sz w:val="20"/>
                <w:szCs w:val="20"/>
                <w:highlight w:val="none"/>
              </w:rPr>
            </w:pPr>
          </w:p>
        </w:tc>
        <w:tc>
          <w:tcPr>
            <w:tcW w:w="1740" w:type="dxa"/>
            <w:tcBorders>
              <w:top w:val="nil"/>
              <w:left w:val="nil"/>
              <w:bottom w:val="single" w:color="auto" w:sz="4" w:space="0"/>
              <w:right w:val="single" w:color="auto" w:sz="4" w:space="0"/>
            </w:tcBorders>
            <w:noWrap w:val="0"/>
            <w:vAlign w:val="center"/>
          </w:tcPr>
          <w:p w14:paraId="4A5CA30B">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4"/>
                <w:szCs w:val="14"/>
                <w:u w:val="none"/>
                <w:lang w:val="en-US" w:eastAsia="zh-CN" w:bidi="ar"/>
              </w:rPr>
              <w:t>财政投资评审</w:t>
            </w:r>
          </w:p>
        </w:tc>
        <w:tc>
          <w:tcPr>
            <w:tcW w:w="940" w:type="dxa"/>
            <w:tcBorders>
              <w:top w:val="nil"/>
              <w:left w:val="nil"/>
              <w:bottom w:val="single" w:color="auto" w:sz="4" w:space="0"/>
              <w:right w:val="single" w:color="auto" w:sz="4" w:space="0"/>
            </w:tcBorders>
            <w:noWrap w:val="0"/>
            <w:vAlign w:val="center"/>
          </w:tcPr>
          <w:p w14:paraId="6C3EE5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6"/>
                <w:szCs w:val="16"/>
                <w:u w:val="none"/>
                <w:lang w:val="en-US" w:eastAsia="zh-CN" w:bidi="ar"/>
              </w:rPr>
              <w:t>240个/7.2亿元</w:t>
            </w:r>
          </w:p>
        </w:tc>
        <w:tc>
          <w:tcPr>
            <w:tcW w:w="1730" w:type="dxa"/>
            <w:tcBorders>
              <w:top w:val="nil"/>
              <w:left w:val="nil"/>
              <w:bottom w:val="single" w:color="auto" w:sz="4" w:space="0"/>
              <w:right w:val="single" w:color="auto" w:sz="4" w:space="0"/>
            </w:tcBorders>
            <w:noWrap w:val="0"/>
            <w:vAlign w:val="center"/>
          </w:tcPr>
          <w:p w14:paraId="7E7B414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326个/15.64亿元</w:t>
            </w:r>
          </w:p>
        </w:tc>
        <w:tc>
          <w:tcPr>
            <w:tcW w:w="650" w:type="dxa"/>
            <w:tcBorders>
              <w:top w:val="nil"/>
              <w:left w:val="nil"/>
              <w:bottom w:val="single" w:color="auto" w:sz="4" w:space="0"/>
              <w:right w:val="single" w:color="auto" w:sz="4" w:space="0"/>
            </w:tcBorders>
            <w:noWrap w:val="0"/>
            <w:vAlign w:val="center"/>
          </w:tcPr>
          <w:p w14:paraId="20AAF44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0" w:type="dxa"/>
            <w:tcBorders>
              <w:top w:val="nil"/>
              <w:left w:val="nil"/>
              <w:bottom w:val="single" w:color="auto" w:sz="4" w:space="0"/>
              <w:right w:val="single" w:color="auto" w:sz="4" w:space="0"/>
            </w:tcBorders>
            <w:noWrap w:val="0"/>
            <w:vAlign w:val="center"/>
          </w:tcPr>
          <w:p w14:paraId="1D7602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20" w:type="dxa"/>
            <w:tcBorders>
              <w:top w:val="nil"/>
              <w:left w:val="nil"/>
              <w:bottom w:val="single" w:color="auto" w:sz="4" w:space="0"/>
              <w:right w:val="single" w:color="auto" w:sz="4" w:space="0"/>
            </w:tcBorders>
            <w:noWrap w:val="0"/>
            <w:vAlign w:val="center"/>
          </w:tcPr>
          <w:p w14:paraId="71E12B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52BE3E9">
        <w:tblPrEx>
          <w:tblCellMar>
            <w:top w:w="0" w:type="dxa"/>
            <w:left w:w="108" w:type="dxa"/>
            <w:bottom w:w="0" w:type="dxa"/>
            <w:right w:w="108" w:type="dxa"/>
          </w:tblCellMar>
        </w:tblPrEx>
        <w:trPr>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21B0D319">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572BA862">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62BF69BC">
            <w:pPr>
              <w:widowControl/>
              <w:spacing w:line="240" w:lineRule="exact"/>
              <w:jc w:val="center"/>
              <w:rPr>
                <w:rFonts w:hint="eastAsia" w:ascii="仿宋_GB2312" w:hAnsi="仿宋_GB2312" w:eastAsia="仿宋_GB2312" w:cs="仿宋_GB2312"/>
                <w:color w:val="000000"/>
                <w:sz w:val="20"/>
                <w:szCs w:val="20"/>
                <w:highlight w:val="none"/>
              </w:rPr>
            </w:pPr>
          </w:p>
        </w:tc>
        <w:tc>
          <w:tcPr>
            <w:tcW w:w="1740" w:type="dxa"/>
            <w:tcBorders>
              <w:top w:val="nil"/>
              <w:left w:val="nil"/>
              <w:bottom w:val="single" w:color="auto" w:sz="4" w:space="0"/>
              <w:right w:val="single" w:color="auto" w:sz="4" w:space="0"/>
            </w:tcBorders>
            <w:noWrap w:val="0"/>
            <w:vAlign w:val="center"/>
          </w:tcPr>
          <w:p w14:paraId="451FF8AF">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4"/>
                <w:szCs w:val="14"/>
                <w:u w:val="none"/>
                <w:lang w:val="en-US" w:eastAsia="zh-CN" w:bidi="ar"/>
              </w:rPr>
              <w:t>政府采购</w:t>
            </w:r>
          </w:p>
        </w:tc>
        <w:tc>
          <w:tcPr>
            <w:tcW w:w="940" w:type="dxa"/>
            <w:tcBorders>
              <w:top w:val="nil"/>
              <w:left w:val="nil"/>
              <w:bottom w:val="single" w:color="auto" w:sz="4" w:space="0"/>
              <w:right w:val="single" w:color="auto" w:sz="4" w:space="0"/>
            </w:tcBorders>
            <w:noWrap w:val="0"/>
            <w:vAlign w:val="center"/>
          </w:tcPr>
          <w:p w14:paraId="1B6677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6"/>
                <w:szCs w:val="16"/>
                <w:u w:val="none"/>
                <w:lang w:val="en-US" w:eastAsia="zh-CN" w:bidi="ar"/>
              </w:rPr>
              <w:t>60个/1.2亿元</w:t>
            </w:r>
          </w:p>
        </w:tc>
        <w:tc>
          <w:tcPr>
            <w:tcW w:w="1730" w:type="dxa"/>
            <w:tcBorders>
              <w:top w:val="nil"/>
              <w:left w:val="nil"/>
              <w:bottom w:val="single" w:color="auto" w:sz="4" w:space="0"/>
              <w:right w:val="single" w:color="auto" w:sz="4" w:space="0"/>
            </w:tcBorders>
            <w:noWrap w:val="0"/>
            <w:vAlign w:val="center"/>
          </w:tcPr>
          <w:p w14:paraId="6D487B4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128个/1.69亿元</w:t>
            </w:r>
          </w:p>
        </w:tc>
        <w:tc>
          <w:tcPr>
            <w:tcW w:w="650" w:type="dxa"/>
            <w:tcBorders>
              <w:top w:val="nil"/>
              <w:left w:val="nil"/>
              <w:bottom w:val="single" w:color="auto" w:sz="4" w:space="0"/>
              <w:right w:val="single" w:color="auto" w:sz="4" w:space="0"/>
            </w:tcBorders>
            <w:noWrap w:val="0"/>
            <w:vAlign w:val="center"/>
          </w:tcPr>
          <w:p w14:paraId="142DCCB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0" w:type="dxa"/>
            <w:tcBorders>
              <w:top w:val="nil"/>
              <w:left w:val="nil"/>
              <w:bottom w:val="single" w:color="auto" w:sz="4" w:space="0"/>
              <w:right w:val="single" w:color="auto" w:sz="4" w:space="0"/>
            </w:tcBorders>
            <w:noWrap w:val="0"/>
            <w:vAlign w:val="center"/>
          </w:tcPr>
          <w:p w14:paraId="137AA2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20" w:type="dxa"/>
            <w:tcBorders>
              <w:top w:val="nil"/>
              <w:left w:val="nil"/>
              <w:bottom w:val="single" w:color="auto" w:sz="4" w:space="0"/>
              <w:right w:val="single" w:color="auto" w:sz="4" w:space="0"/>
            </w:tcBorders>
            <w:noWrap w:val="0"/>
            <w:vAlign w:val="center"/>
          </w:tcPr>
          <w:p w14:paraId="604FA5F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6566F5F8">
        <w:tblPrEx>
          <w:tblCellMar>
            <w:top w:w="0" w:type="dxa"/>
            <w:left w:w="108" w:type="dxa"/>
            <w:bottom w:w="0" w:type="dxa"/>
            <w:right w:w="108" w:type="dxa"/>
          </w:tblCellMar>
        </w:tblPrEx>
        <w:trPr>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4BEB77C7">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423FDACF">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0A873525">
            <w:pPr>
              <w:widowControl/>
              <w:spacing w:line="240" w:lineRule="exact"/>
              <w:jc w:val="center"/>
              <w:rPr>
                <w:rFonts w:hint="eastAsia" w:ascii="仿宋_GB2312" w:hAnsi="仿宋_GB2312" w:eastAsia="仿宋_GB2312" w:cs="仿宋_GB2312"/>
                <w:color w:val="000000"/>
                <w:sz w:val="20"/>
                <w:szCs w:val="20"/>
                <w:highlight w:val="none"/>
              </w:rPr>
            </w:pPr>
          </w:p>
        </w:tc>
        <w:tc>
          <w:tcPr>
            <w:tcW w:w="1740" w:type="dxa"/>
            <w:tcBorders>
              <w:top w:val="nil"/>
              <w:left w:val="nil"/>
              <w:bottom w:val="single" w:color="auto" w:sz="4" w:space="0"/>
              <w:right w:val="single" w:color="auto" w:sz="4" w:space="0"/>
            </w:tcBorders>
            <w:noWrap w:val="0"/>
            <w:vAlign w:val="center"/>
          </w:tcPr>
          <w:p w14:paraId="21B86A6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4"/>
                <w:szCs w:val="14"/>
                <w:u w:val="none"/>
                <w:lang w:val="en-US" w:eastAsia="zh-CN" w:bidi="ar"/>
              </w:rPr>
              <w:t>部门支出绩效全覆盖</w:t>
            </w:r>
          </w:p>
        </w:tc>
        <w:tc>
          <w:tcPr>
            <w:tcW w:w="940" w:type="dxa"/>
            <w:tcBorders>
              <w:top w:val="nil"/>
              <w:left w:val="nil"/>
              <w:bottom w:val="single" w:color="auto" w:sz="4" w:space="0"/>
              <w:right w:val="single" w:color="auto" w:sz="4" w:space="0"/>
            </w:tcBorders>
            <w:noWrap w:val="0"/>
            <w:vAlign w:val="center"/>
          </w:tcPr>
          <w:p w14:paraId="464193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123</w:t>
            </w:r>
          </w:p>
        </w:tc>
        <w:tc>
          <w:tcPr>
            <w:tcW w:w="1730" w:type="dxa"/>
            <w:tcBorders>
              <w:top w:val="nil"/>
              <w:left w:val="nil"/>
              <w:bottom w:val="single" w:color="auto" w:sz="4" w:space="0"/>
              <w:right w:val="single" w:color="auto" w:sz="4" w:space="0"/>
            </w:tcBorders>
            <w:noWrap w:val="0"/>
            <w:vAlign w:val="center"/>
          </w:tcPr>
          <w:p w14:paraId="04334FD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123家</w:t>
            </w:r>
          </w:p>
        </w:tc>
        <w:tc>
          <w:tcPr>
            <w:tcW w:w="650" w:type="dxa"/>
            <w:tcBorders>
              <w:top w:val="nil"/>
              <w:left w:val="nil"/>
              <w:bottom w:val="single" w:color="auto" w:sz="4" w:space="0"/>
              <w:right w:val="single" w:color="auto" w:sz="4" w:space="0"/>
            </w:tcBorders>
            <w:noWrap w:val="0"/>
            <w:vAlign w:val="center"/>
          </w:tcPr>
          <w:p w14:paraId="609868F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0" w:type="dxa"/>
            <w:tcBorders>
              <w:top w:val="nil"/>
              <w:left w:val="nil"/>
              <w:bottom w:val="single" w:color="auto" w:sz="4" w:space="0"/>
              <w:right w:val="single" w:color="auto" w:sz="4" w:space="0"/>
            </w:tcBorders>
            <w:noWrap w:val="0"/>
            <w:vAlign w:val="center"/>
          </w:tcPr>
          <w:p w14:paraId="70CF76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20" w:type="dxa"/>
            <w:tcBorders>
              <w:top w:val="nil"/>
              <w:left w:val="nil"/>
              <w:bottom w:val="single" w:color="auto" w:sz="4" w:space="0"/>
              <w:right w:val="single" w:color="auto" w:sz="4" w:space="0"/>
            </w:tcBorders>
            <w:noWrap w:val="0"/>
            <w:vAlign w:val="center"/>
          </w:tcPr>
          <w:p w14:paraId="213890F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D0699E8">
        <w:tblPrEx>
          <w:tblCellMar>
            <w:top w:w="0" w:type="dxa"/>
            <w:left w:w="108" w:type="dxa"/>
            <w:bottom w:w="0" w:type="dxa"/>
            <w:right w:w="108" w:type="dxa"/>
          </w:tblCellMar>
        </w:tblPrEx>
        <w:trPr>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7B63DE92">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20B8A381">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3E203F1A">
            <w:pPr>
              <w:widowControl/>
              <w:spacing w:line="240" w:lineRule="exact"/>
              <w:jc w:val="center"/>
              <w:rPr>
                <w:rFonts w:hint="eastAsia" w:ascii="仿宋_GB2312" w:hAnsi="仿宋_GB2312" w:eastAsia="仿宋_GB2312" w:cs="仿宋_GB2312"/>
                <w:color w:val="000000"/>
                <w:sz w:val="20"/>
                <w:szCs w:val="20"/>
                <w:highlight w:val="none"/>
              </w:rPr>
            </w:pPr>
          </w:p>
        </w:tc>
        <w:tc>
          <w:tcPr>
            <w:tcW w:w="1740" w:type="dxa"/>
            <w:tcBorders>
              <w:top w:val="nil"/>
              <w:left w:val="nil"/>
              <w:bottom w:val="single" w:color="auto" w:sz="4" w:space="0"/>
              <w:right w:val="single" w:color="auto" w:sz="4" w:space="0"/>
            </w:tcBorders>
            <w:noWrap w:val="0"/>
            <w:vAlign w:val="center"/>
          </w:tcPr>
          <w:p w14:paraId="35A065B5">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4"/>
                <w:szCs w:val="14"/>
                <w:u w:val="none"/>
                <w:lang w:val="en-US" w:eastAsia="zh-CN" w:bidi="ar"/>
              </w:rPr>
              <w:t>财政监督全覆盖</w:t>
            </w:r>
          </w:p>
        </w:tc>
        <w:tc>
          <w:tcPr>
            <w:tcW w:w="940" w:type="dxa"/>
            <w:tcBorders>
              <w:top w:val="nil"/>
              <w:left w:val="nil"/>
              <w:bottom w:val="single" w:color="auto" w:sz="4" w:space="0"/>
              <w:right w:val="single" w:color="auto" w:sz="4" w:space="0"/>
            </w:tcBorders>
            <w:noWrap w:val="0"/>
            <w:vAlign w:val="center"/>
          </w:tcPr>
          <w:p w14:paraId="09B57B3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ascii="宋体" w:hAnsi="宋体" w:eastAsia="宋体" w:cs="宋体"/>
                <w:i w:val="0"/>
                <w:iCs w:val="0"/>
                <w:color w:val="000000"/>
                <w:kern w:val="0"/>
                <w:sz w:val="16"/>
                <w:szCs w:val="16"/>
                <w:u w:val="none"/>
                <w:lang w:val="en-US" w:eastAsia="zh-CN" w:bidi="ar"/>
              </w:rPr>
              <w:t>3</w:t>
            </w:r>
          </w:p>
        </w:tc>
        <w:tc>
          <w:tcPr>
            <w:tcW w:w="1730" w:type="dxa"/>
            <w:tcBorders>
              <w:top w:val="nil"/>
              <w:left w:val="nil"/>
              <w:bottom w:val="single" w:color="auto" w:sz="4" w:space="0"/>
              <w:right w:val="single" w:color="auto" w:sz="4" w:space="0"/>
            </w:tcBorders>
            <w:noWrap w:val="0"/>
            <w:vAlign w:val="center"/>
          </w:tcPr>
          <w:p w14:paraId="72F5848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3家</w:t>
            </w:r>
          </w:p>
        </w:tc>
        <w:tc>
          <w:tcPr>
            <w:tcW w:w="650" w:type="dxa"/>
            <w:tcBorders>
              <w:top w:val="nil"/>
              <w:left w:val="nil"/>
              <w:bottom w:val="single" w:color="auto" w:sz="4" w:space="0"/>
              <w:right w:val="single" w:color="auto" w:sz="4" w:space="0"/>
            </w:tcBorders>
            <w:noWrap w:val="0"/>
            <w:vAlign w:val="center"/>
          </w:tcPr>
          <w:p w14:paraId="6CC19EC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0" w:type="dxa"/>
            <w:tcBorders>
              <w:top w:val="nil"/>
              <w:left w:val="nil"/>
              <w:bottom w:val="single" w:color="auto" w:sz="4" w:space="0"/>
              <w:right w:val="single" w:color="auto" w:sz="4" w:space="0"/>
            </w:tcBorders>
            <w:noWrap w:val="0"/>
            <w:vAlign w:val="center"/>
          </w:tcPr>
          <w:p w14:paraId="1D08E3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20" w:type="dxa"/>
            <w:tcBorders>
              <w:top w:val="nil"/>
              <w:left w:val="nil"/>
              <w:bottom w:val="single" w:color="auto" w:sz="4" w:space="0"/>
              <w:right w:val="single" w:color="auto" w:sz="4" w:space="0"/>
            </w:tcBorders>
            <w:noWrap w:val="0"/>
            <w:vAlign w:val="center"/>
          </w:tcPr>
          <w:p w14:paraId="31CA826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12C4A63D">
        <w:tblPrEx>
          <w:tblCellMar>
            <w:top w:w="0" w:type="dxa"/>
            <w:left w:w="108" w:type="dxa"/>
            <w:bottom w:w="0" w:type="dxa"/>
            <w:right w:w="108" w:type="dxa"/>
          </w:tblCellMar>
        </w:tblPrEx>
        <w:trPr>
          <w:trHeight w:val="402"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020AE3C0">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7D85C9C">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restart"/>
            <w:tcBorders>
              <w:top w:val="single" w:color="auto" w:sz="4" w:space="0"/>
              <w:left w:val="single" w:color="auto" w:sz="4" w:space="0"/>
              <w:right w:val="single" w:color="auto" w:sz="4" w:space="0"/>
            </w:tcBorders>
            <w:noWrap w:val="0"/>
            <w:vAlign w:val="center"/>
          </w:tcPr>
          <w:p w14:paraId="00B2612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740" w:type="dxa"/>
            <w:tcBorders>
              <w:top w:val="nil"/>
              <w:left w:val="nil"/>
              <w:bottom w:val="single" w:color="auto" w:sz="4" w:space="0"/>
              <w:right w:val="single" w:color="auto" w:sz="4" w:space="0"/>
            </w:tcBorders>
            <w:shd w:val="clear" w:color="auto" w:fill="auto"/>
            <w:noWrap w:val="0"/>
            <w:vAlign w:val="center"/>
          </w:tcPr>
          <w:p w14:paraId="473CA4C6">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部门职能职责发挥作用的程度</w:t>
            </w:r>
          </w:p>
        </w:tc>
        <w:tc>
          <w:tcPr>
            <w:tcW w:w="940" w:type="dxa"/>
            <w:tcBorders>
              <w:top w:val="nil"/>
              <w:left w:val="nil"/>
              <w:bottom w:val="single" w:color="auto" w:sz="4" w:space="0"/>
              <w:right w:val="single" w:color="auto" w:sz="4" w:space="0"/>
            </w:tcBorders>
            <w:shd w:val="clear" w:color="auto" w:fill="auto"/>
            <w:noWrap w:val="0"/>
            <w:vAlign w:val="center"/>
          </w:tcPr>
          <w:p w14:paraId="1DD6354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充分发挥</w:t>
            </w:r>
          </w:p>
        </w:tc>
        <w:tc>
          <w:tcPr>
            <w:tcW w:w="1730" w:type="dxa"/>
            <w:tcBorders>
              <w:top w:val="nil"/>
              <w:left w:val="nil"/>
              <w:bottom w:val="single" w:color="auto" w:sz="4" w:space="0"/>
              <w:right w:val="single" w:color="auto" w:sz="4" w:space="0"/>
            </w:tcBorders>
            <w:shd w:val="clear" w:color="auto" w:fill="auto"/>
            <w:noWrap w:val="0"/>
            <w:vAlign w:val="center"/>
          </w:tcPr>
          <w:p w14:paraId="27BFBA4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充分发挥</w:t>
            </w:r>
          </w:p>
        </w:tc>
        <w:tc>
          <w:tcPr>
            <w:tcW w:w="650" w:type="dxa"/>
            <w:tcBorders>
              <w:top w:val="nil"/>
              <w:left w:val="nil"/>
              <w:bottom w:val="single" w:color="auto" w:sz="4" w:space="0"/>
              <w:right w:val="single" w:color="auto" w:sz="4" w:space="0"/>
            </w:tcBorders>
            <w:shd w:val="clear" w:color="auto" w:fill="auto"/>
            <w:noWrap w:val="0"/>
            <w:vAlign w:val="center"/>
          </w:tcPr>
          <w:p w14:paraId="03587F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0" w:type="dxa"/>
            <w:tcBorders>
              <w:top w:val="nil"/>
              <w:left w:val="nil"/>
              <w:bottom w:val="single" w:color="auto" w:sz="4" w:space="0"/>
              <w:right w:val="single" w:color="auto" w:sz="4" w:space="0"/>
            </w:tcBorders>
            <w:shd w:val="clear" w:color="auto" w:fill="auto"/>
            <w:noWrap w:val="0"/>
            <w:vAlign w:val="center"/>
          </w:tcPr>
          <w:p w14:paraId="164A08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20" w:type="dxa"/>
            <w:tcBorders>
              <w:top w:val="nil"/>
              <w:left w:val="nil"/>
              <w:bottom w:val="single" w:color="auto" w:sz="4" w:space="0"/>
              <w:right w:val="single" w:color="auto" w:sz="4" w:space="0"/>
            </w:tcBorders>
            <w:noWrap w:val="0"/>
            <w:vAlign w:val="center"/>
          </w:tcPr>
          <w:p w14:paraId="5309AB7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1007D12">
        <w:tblPrEx>
          <w:tblCellMar>
            <w:top w:w="0" w:type="dxa"/>
            <w:left w:w="108" w:type="dxa"/>
            <w:bottom w:w="0" w:type="dxa"/>
            <w:right w:w="108" w:type="dxa"/>
          </w:tblCellMar>
        </w:tblPrEx>
        <w:trPr>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578D5BAA">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5440201">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continue"/>
            <w:tcBorders>
              <w:left w:val="single" w:color="auto" w:sz="4" w:space="0"/>
              <w:right w:val="single" w:color="auto" w:sz="4" w:space="0"/>
            </w:tcBorders>
            <w:noWrap w:val="0"/>
            <w:vAlign w:val="center"/>
          </w:tcPr>
          <w:p w14:paraId="21B6C715">
            <w:pPr>
              <w:widowControl/>
              <w:spacing w:line="240" w:lineRule="exact"/>
              <w:jc w:val="center"/>
              <w:rPr>
                <w:rFonts w:hint="eastAsia" w:ascii="仿宋_GB2312" w:hAnsi="仿宋_GB2312" w:eastAsia="仿宋_GB2312" w:cs="仿宋_GB2312"/>
                <w:color w:val="000000"/>
                <w:sz w:val="20"/>
                <w:szCs w:val="20"/>
                <w:highlight w:val="none"/>
              </w:rPr>
            </w:pPr>
          </w:p>
        </w:tc>
        <w:tc>
          <w:tcPr>
            <w:tcW w:w="1740" w:type="dxa"/>
            <w:tcBorders>
              <w:top w:val="nil"/>
              <w:left w:val="nil"/>
              <w:bottom w:val="single" w:color="auto" w:sz="4" w:space="0"/>
              <w:right w:val="single" w:color="auto" w:sz="4" w:space="0"/>
            </w:tcBorders>
            <w:shd w:val="clear" w:color="auto" w:fill="auto"/>
            <w:noWrap w:val="0"/>
            <w:vAlign w:val="center"/>
          </w:tcPr>
          <w:p w14:paraId="6DAB58F7">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cs="宋体"/>
                <w:i w:val="0"/>
                <w:iCs w:val="0"/>
                <w:color w:val="000000"/>
                <w:kern w:val="0"/>
                <w:sz w:val="14"/>
                <w:szCs w:val="14"/>
                <w:u w:val="none"/>
                <w:lang w:val="en-US" w:eastAsia="zh-CN" w:bidi="ar"/>
              </w:rPr>
              <w:t>正常运转率</w:t>
            </w:r>
          </w:p>
        </w:tc>
        <w:tc>
          <w:tcPr>
            <w:tcW w:w="940" w:type="dxa"/>
            <w:tcBorders>
              <w:top w:val="nil"/>
              <w:left w:val="nil"/>
              <w:bottom w:val="single" w:color="auto" w:sz="4" w:space="0"/>
              <w:right w:val="single" w:color="auto" w:sz="4" w:space="0"/>
            </w:tcBorders>
            <w:noWrap w:val="0"/>
            <w:vAlign w:val="center"/>
          </w:tcPr>
          <w:p w14:paraId="6550565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95</w:t>
            </w:r>
            <w:r>
              <w:rPr>
                <w:rFonts w:hint="eastAsia" w:ascii="宋体" w:hAnsi="宋体" w:cs="宋体"/>
                <w:i w:val="0"/>
                <w:iCs w:val="0"/>
                <w:color w:val="000000"/>
                <w:kern w:val="0"/>
                <w:sz w:val="16"/>
                <w:szCs w:val="16"/>
                <w:u w:val="none"/>
                <w:lang w:val="en-US" w:eastAsia="zh-CN" w:bidi="ar"/>
              </w:rPr>
              <w:t>%</w:t>
            </w:r>
          </w:p>
        </w:tc>
        <w:tc>
          <w:tcPr>
            <w:tcW w:w="1730" w:type="dxa"/>
            <w:tcBorders>
              <w:top w:val="nil"/>
              <w:left w:val="nil"/>
              <w:bottom w:val="single" w:color="auto" w:sz="4" w:space="0"/>
              <w:right w:val="single" w:color="auto" w:sz="4" w:space="0"/>
            </w:tcBorders>
            <w:noWrap w:val="0"/>
            <w:vAlign w:val="center"/>
          </w:tcPr>
          <w:p w14:paraId="04CE7AD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4"/>
                <w:szCs w:val="14"/>
                <w:u w:val="none"/>
                <w:lang w:val="en-US" w:eastAsia="zh-CN" w:bidi="ar"/>
              </w:rPr>
              <w:t>9</w:t>
            </w:r>
            <w:r>
              <w:rPr>
                <w:rFonts w:hint="eastAsia" w:ascii="宋体" w:hAnsi="宋体" w:cs="宋体"/>
                <w:i w:val="0"/>
                <w:iCs w:val="0"/>
                <w:color w:val="000000"/>
                <w:kern w:val="0"/>
                <w:sz w:val="14"/>
                <w:szCs w:val="14"/>
                <w:u w:val="none"/>
                <w:lang w:val="en-US" w:eastAsia="zh-CN" w:bidi="ar"/>
              </w:rPr>
              <w:t>8</w:t>
            </w:r>
            <w:r>
              <w:rPr>
                <w:rFonts w:ascii="宋体" w:hAnsi="宋体" w:eastAsia="宋体" w:cs="宋体"/>
                <w:i w:val="0"/>
                <w:iCs w:val="0"/>
                <w:color w:val="000000"/>
                <w:kern w:val="0"/>
                <w:sz w:val="14"/>
                <w:szCs w:val="14"/>
                <w:u w:val="none"/>
                <w:lang w:val="en-US" w:eastAsia="zh-CN" w:bidi="ar"/>
              </w:rPr>
              <w:t>%</w:t>
            </w:r>
          </w:p>
        </w:tc>
        <w:tc>
          <w:tcPr>
            <w:tcW w:w="650" w:type="dxa"/>
            <w:tcBorders>
              <w:top w:val="nil"/>
              <w:left w:val="nil"/>
              <w:bottom w:val="single" w:color="auto" w:sz="4" w:space="0"/>
              <w:right w:val="single" w:color="auto" w:sz="4" w:space="0"/>
            </w:tcBorders>
            <w:noWrap w:val="0"/>
            <w:vAlign w:val="center"/>
          </w:tcPr>
          <w:p w14:paraId="757F300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0" w:type="dxa"/>
            <w:tcBorders>
              <w:top w:val="nil"/>
              <w:left w:val="nil"/>
              <w:bottom w:val="single" w:color="auto" w:sz="4" w:space="0"/>
              <w:right w:val="single" w:color="auto" w:sz="4" w:space="0"/>
            </w:tcBorders>
            <w:noWrap w:val="0"/>
            <w:vAlign w:val="center"/>
          </w:tcPr>
          <w:p w14:paraId="2A39C00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20" w:type="dxa"/>
            <w:tcBorders>
              <w:top w:val="nil"/>
              <w:left w:val="nil"/>
              <w:bottom w:val="single" w:color="auto" w:sz="4" w:space="0"/>
              <w:right w:val="single" w:color="auto" w:sz="4" w:space="0"/>
            </w:tcBorders>
            <w:noWrap w:val="0"/>
            <w:vAlign w:val="center"/>
          </w:tcPr>
          <w:p w14:paraId="66828DB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E4AE7F7">
        <w:tblPrEx>
          <w:tblCellMar>
            <w:top w:w="0" w:type="dxa"/>
            <w:left w:w="108" w:type="dxa"/>
            <w:bottom w:w="0" w:type="dxa"/>
            <w:right w:w="108" w:type="dxa"/>
          </w:tblCellMar>
        </w:tblPrEx>
        <w:trPr>
          <w:trHeight w:val="279"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5C10E14B">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087942A5">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continue"/>
            <w:tcBorders>
              <w:left w:val="single" w:color="auto" w:sz="4" w:space="0"/>
              <w:bottom w:val="single" w:color="auto" w:sz="4" w:space="0"/>
              <w:right w:val="single" w:color="auto" w:sz="4" w:space="0"/>
            </w:tcBorders>
            <w:noWrap w:val="0"/>
            <w:vAlign w:val="center"/>
          </w:tcPr>
          <w:p w14:paraId="25EC26B8">
            <w:pPr>
              <w:widowControl/>
              <w:spacing w:line="240" w:lineRule="exact"/>
              <w:jc w:val="center"/>
              <w:rPr>
                <w:rFonts w:hint="eastAsia" w:ascii="仿宋_GB2312" w:hAnsi="仿宋_GB2312" w:eastAsia="仿宋_GB2312" w:cs="仿宋_GB2312"/>
                <w:color w:val="000000"/>
                <w:sz w:val="20"/>
                <w:szCs w:val="20"/>
                <w:highlight w:val="none"/>
              </w:rPr>
            </w:pPr>
          </w:p>
        </w:tc>
        <w:tc>
          <w:tcPr>
            <w:tcW w:w="1740" w:type="dxa"/>
            <w:tcBorders>
              <w:top w:val="nil"/>
              <w:left w:val="nil"/>
              <w:bottom w:val="single" w:color="auto" w:sz="4" w:space="0"/>
              <w:right w:val="single" w:color="auto" w:sz="4" w:space="0"/>
            </w:tcBorders>
            <w:shd w:val="clear" w:color="auto" w:fill="auto"/>
            <w:noWrap w:val="0"/>
            <w:vAlign w:val="center"/>
          </w:tcPr>
          <w:p w14:paraId="1D20EB38">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SA"/>
              </w:rPr>
            </w:pPr>
            <w:r>
              <w:rPr>
                <w:rFonts w:hint="eastAsia" w:ascii="宋体" w:hAnsi="宋体" w:cs="宋体"/>
                <w:i w:val="0"/>
                <w:iCs w:val="0"/>
                <w:color w:val="000000"/>
                <w:kern w:val="0"/>
                <w:sz w:val="14"/>
                <w:szCs w:val="14"/>
                <w:u w:val="none"/>
                <w:lang w:val="en-US" w:eastAsia="zh-CN" w:bidi="ar"/>
              </w:rPr>
              <w:t>等级保护测评评分</w:t>
            </w:r>
          </w:p>
        </w:tc>
        <w:tc>
          <w:tcPr>
            <w:tcW w:w="940" w:type="dxa"/>
            <w:tcBorders>
              <w:top w:val="nil"/>
              <w:left w:val="nil"/>
              <w:bottom w:val="single" w:color="auto" w:sz="4" w:space="0"/>
              <w:right w:val="single" w:color="auto" w:sz="4" w:space="0"/>
            </w:tcBorders>
            <w:noWrap w:val="0"/>
            <w:vAlign w:val="center"/>
          </w:tcPr>
          <w:p w14:paraId="0902BB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70</w:t>
            </w:r>
            <w:r>
              <w:rPr>
                <w:rFonts w:hint="eastAsia" w:ascii="宋体" w:hAnsi="宋体" w:cs="宋体"/>
                <w:i w:val="0"/>
                <w:iCs w:val="0"/>
                <w:color w:val="000000"/>
                <w:kern w:val="0"/>
                <w:sz w:val="16"/>
                <w:szCs w:val="16"/>
                <w:u w:val="none"/>
                <w:lang w:val="en-US" w:eastAsia="zh-CN" w:bidi="ar"/>
              </w:rPr>
              <w:t>分</w:t>
            </w:r>
          </w:p>
        </w:tc>
        <w:tc>
          <w:tcPr>
            <w:tcW w:w="1730" w:type="dxa"/>
            <w:tcBorders>
              <w:top w:val="nil"/>
              <w:left w:val="nil"/>
              <w:bottom w:val="single" w:color="auto" w:sz="4" w:space="0"/>
              <w:right w:val="single" w:color="auto" w:sz="4" w:space="0"/>
            </w:tcBorders>
            <w:noWrap w:val="0"/>
            <w:vAlign w:val="center"/>
          </w:tcPr>
          <w:p w14:paraId="3F57BEF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cs="宋体"/>
                <w:i w:val="0"/>
                <w:iCs w:val="0"/>
                <w:color w:val="000000"/>
                <w:kern w:val="0"/>
                <w:sz w:val="14"/>
                <w:szCs w:val="14"/>
                <w:u w:val="none"/>
                <w:lang w:val="en-US" w:eastAsia="zh-CN" w:bidi="ar"/>
              </w:rPr>
              <w:t>80.54</w:t>
            </w:r>
            <w:r>
              <w:rPr>
                <w:rFonts w:ascii="宋体" w:hAnsi="宋体" w:eastAsia="宋体" w:cs="宋体"/>
                <w:i w:val="0"/>
                <w:iCs w:val="0"/>
                <w:color w:val="000000"/>
                <w:kern w:val="0"/>
                <w:sz w:val="14"/>
                <w:szCs w:val="14"/>
                <w:u w:val="none"/>
                <w:lang w:val="en-US" w:eastAsia="zh-CN" w:bidi="ar"/>
              </w:rPr>
              <w:t>分</w:t>
            </w:r>
          </w:p>
        </w:tc>
        <w:tc>
          <w:tcPr>
            <w:tcW w:w="650" w:type="dxa"/>
            <w:tcBorders>
              <w:top w:val="nil"/>
              <w:left w:val="nil"/>
              <w:bottom w:val="single" w:color="auto" w:sz="4" w:space="0"/>
              <w:right w:val="single" w:color="auto" w:sz="4" w:space="0"/>
            </w:tcBorders>
            <w:noWrap w:val="0"/>
            <w:vAlign w:val="center"/>
          </w:tcPr>
          <w:p w14:paraId="68FA122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0" w:type="dxa"/>
            <w:tcBorders>
              <w:top w:val="nil"/>
              <w:left w:val="nil"/>
              <w:bottom w:val="single" w:color="auto" w:sz="4" w:space="0"/>
              <w:right w:val="single" w:color="auto" w:sz="4" w:space="0"/>
            </w:tcBorders>
            <w:noWrap w:val="0"/>
            <w:vAlign w:val="center"/>
          </w:tcPr>
          <w:p w14:paraId="199B14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20" w:type="dxa"/>
            <w:tcBorders>
              <w:top w:val="nil"/>
              <w:left w:val="nil"/>
              <w:bottom w:val="single" w:color="auto" w:sz="4" w:space="0"/>
              <w:right w:val="single" w:color="auto" w:sz="4" w:space="0"/>
            </w:tcBorders>
            <w:noWrap w:val="0"/>
            <w:vAlign w:val="center"/>
          </w:tcPr>
          <w:p w14:paraId="46352D2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6E0B7675">
        <w:tblPrEx>
          <w:tblCellMar>
            <w:top w:w="0" w:type="dxa"/>
            <w:left w:w="108" w:type="dxa"/>
            <w:bottom w:w="0" w:type="dxa"/>
            <w:right w:w="108" w:type="dxa"/>
          </w:tblCellMar>
        </w:tblPrEx>
        <w:trPr>
          <w:trHeight w:val="462"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176B01C0">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7E8A209">
            <w:pPr>
              <w:spacing w:line="240" w:lineRule="exact"/>
              <w:jc w:val="left"/>
              <w:rPr>
                <w:rFonts w:hint="eastAsia" w:ascii="仿宋_GB2312" w:hAnsi="仿宋_GB2312" w:eastAsia="仿宋_GB2312" w:cs="仿宋_GB2312"/>
                <w:color w:val="000000"/>
                <w:sz w:val="20"/>
                <w:szCs w:val="20"/>
                <w:highlight w:val="none"/>
              </w:rPr>
            </w:pPr>
          </w:p>
        </w:tc>
        <w:tc>
          <w:tcPr>
            <w:tcW w:w="1140" w:type="dxa"/>
            <w:tcBorders>
              <w:left w:val="single" w:color="auto" w:sz="4" w:space="0"/>
              <w:bottom w:val="single" w:color="auto" w:sz="4" w:space="0"/>
              <w:right w:val="single" w:color="auto" w:sz="4" w:space="0"/>
            </w:tcBorders>
            <w:noWrap w:val="0"/>
            <w:vAlign w:val="center"/>
          </w:tcPr>
          <w:p w14:paraId="1D4C387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4533B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工作完成及时性</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14:paraId="4563B26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730" w:type="dxa"/>
            <w:tcBorders>
              <w:top w:val="single" w:color="auto" w:sz="4" w:space="0"/>
              <w:left w:val="nil"/>
              <w:bottom w:val="single" w:color="auto" w:sz="4" w:space="0"/>
              <w:right w:val="single" w:color="auto" w:sz="4" w:space="0"/>
            </w:tcBorders>
            <w:shd w:val="clear" w:color="auto" w:fill="auto"/>
            <w:noWrap w:val="0"/>
            <w:vAlign w:val="center"/>
          </w:tcPr>
          <w:p w14:paraId="5F38FECE">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50" w:type="dxa"/>
            <w:tcBorders>
              <w:top w:val="single" w:color="auto" w:sz="4" w:space="0"/>
              <w:left w:val="nil"/>
              <w:bottom w:val="single" w:color="auto" w:sz="4" w:space="0"/>
              <w:right w:val="single" w:color="auto" w:sz="4" w:space="0"/>
            </w:tcBorders>
            <w:shd w:val="clear" w:color="auto" w:fill="auto"/>
            <w:noWrap w:val="0"/>
            <w:vAlign w:val="center"/>
          </w:tcPr>
          <w:p w14:paraId="508A7E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0" w:type="dxa"/>
            <w:tcBorders>
              <w:top w:val="single" w:color="auto" w:sz="4" w:space="0"/>
              <w:left w:val="nil"/>
              <w:bottom w:val="single" w:color="auto" w:sz="4" w:space="0"/>
              <w:right w:val="single" w:color="auto" w:sz="4" w:space="0"/>
            </w:tcBorders>
            <w:shd w:val="clear" w:color="auto" w:fill="auto"/>
            <w:noWrap w:val="0"/>
            <w:vAlign w:val="center"/>
          </w:tcPr>
          <w:p w14:paraId="39508E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20" w:type="dxa"/>
            <w:tcBorders>
              <w:top w:val="single" w:color="auto" w:sz="4" w:space="0"/>
              <w:left w:val="nil"/>
              <w:bottom w:val="single" w:color="auto" w:sz="4" w:space="0"/>
              <w:right w:val="single" w:color="auto" w:sz="4" w:space="0"/>
            </w:tcBorders>
            <w:noWrap w:val="0"/>
            <w:vAlign w:val="center"/>
          </w:tcPr>
          <w:p w14:paraId="2440BE7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2619144">
        <w:tblPrEx>
          <w:tblCellMar>
            <w:top w:w="0" w:type="dxa"/>
            <w:left w:w="108" w:type="dxa"/>
            <w:bottom w:w="0" w:type="dxa"/>
            <w:right w:w="108" w:type="dxa"/>
          </w:tblCellMar>
        </w:tblPrEx>
        <w:trPr>
          <w:trHeight w:val="719"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76414302">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1A58845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4650192">
            <w:pPr>
              <w:widowControl/>
              <w:spacing w:line="240" w:lineRule="exact"/>
              <w:jc w:val="left"/>
              <w:rPr>
                <w:rFonts w:hint="eastAsia" w:ascii="仿宋_GB2312" w:hAnsi="仿宋_GB2312" w:eastAsia="仿宋_GB2312" w:cs="仿宋_GB2312"/>
                <w:color w:val="000000"/>
                <w:sz w:val="20"/>
                <w:szCs w:val="20"/>
                <w:highlight w:val="none"/>
              </w:rPr>
            </w:pPr>
          </w:p>
          <w:p w14:paraId="1C347C7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4BEB536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0D724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20235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1E9092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促进地方经济平稳增长</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5D5FDE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67A63D6">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比上年增长11.86%</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695B67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07488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44ADC8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709DFDF8">
        <w:tblPrEx>
          <w:tblCellMar>
            <w:top w:w="0" w:type="dxa"/>
            <w:left w:w="108" w:type="dxa"/>
            <w:bottom w:w="0" w:type="dxa"/>
            <w:right w:w="108" w:type="dxa"/>
          </w:tblCellMar>
        </w:tblPrEx>
        <w:trPr>
          <w:trHeight w:val="899"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26EBF841">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598D40EA">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14:paraId="03E824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78B789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40" w:type="dxa"/>
            <w:tcBorders>
              <w:top w:val="single" w:color="auto" w:sz="4" w:space="0"/>
              <w:left w:val="nil"/>
              <w:bottom w:val="single" w:color="auto" w:sz="4" w:space="0"/>
              <w:right w:val="single" w:color="auto" w:sz="4" w:space="0"/>
            </w:tcBorders>
            <w:noWrap w:val="0"/>
            <w:vAlign w:val="center"/>
          </w:tcPr>
          <w:p w14:paraId="41CE59AB">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保证区直各部门正常运转</w:t>
            </w:r>
          </w:p>
        </w:tc>
        <w:tc>
          <w:tcPr>
            <w:tcW w:w="940" w:type="dxa"/>
            <w:tcBorders>
              <w:top w:val="single" w:color="auto" w:sz="4" w:space="0"/>
              <w:left w:val="nil"/>
              <w:bottom w:val="single" w:color="auto" w:sz="4" w:space="0"/>
              <w:right w:val="single" w:color="auto" w:sz="4" w:space="0"/>
            </w:tcBorders>
            <w:noWrap w:val="0"/>
            <w:vAlign w:val="center"/>
          </w:tcPr>
          <w:p w14:paraId="7794E16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有效保证</w:t>
            </w:r>
          </w:p>
        </w:tc>
        <w:tc>
          <w:tcPr>
            <w:tcW w:w="1730" w:type="dxa"/>
            <w:tcBorders>
              <w:top w:val="single" w:color="auto" w:sz="4" w:space="0"/>
              <w:left w:val="nil"/>
              <w:bottom w:val="single" w:color="auto" w:sz="4" w:space="0"/>
              <w:right w:val="single" w:color="auto" w:sz="4" w:space="0"/>
            </w:tcBorders>
            <w:noWrap w:val="0"/>
            <w:vAlign w:val="center"/>
          </w:tcPr>
          <w:p w14:paraId="499872A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正常运转</w:t>
            </w:r>
          </w:p>
        </w:tc>
        <w:tc>
          <w:tcPr>
            <w:tcW w:w="650" w:type="dxa"/>
            <w:tcBorders>
              <w:top w:val="single" w:color="auto" w:sz="4" w:space="0"/>
              <w:left w:val="nil"/>
              <w:bottom w:val="single" w:color="auto" w:sz="4" w:space="0"/>
              <w:right w:val="single" w:color="auto" w:sz="4" w:space="0"/>
            </w:tcBorders>
            <w:noWrap w:val="0"/>
            <w:vAlign w:val="center"/>
          </w:tcPr>
          <w:p w14:paraId="22BFF27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50" w:type="dxa"/>
            <w:tcBorders>
              <w:top w:val="single" w:color="auto" w:sz="4" w:space="0"/>
              <w:left w:val="nil"/>
              <w:bottom w:val="single" w:color="auto" w:sz="4" w:space="0"/>
              <w:right w:val="single" w:color="auto" w:sz="4" w:space="0"/>
            </w:tcBorders>
            <w:noWrap w:val="0"/>
            <w:vAlign w:val="center"/>
          </w:tcPr>
          <w:p w14:paraId="6D76078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020" w:type="dxa"/>
            <w:tcBorders>
              <w:top w:val="single" w:color="auto" w:sz="4" w:space="0"/>
              <w:left w:val="nil"/>
              <w:bottom w:val="single" w:color="auto" w:sz="4" w:space="0"/>
              <w:right w:val="single" w:color="auto" w:sz="4" w:space="0"/>
            </w:tcBorders>
            <w:noWrap w:val="0"/>
            <w:vAlign w:val="center"/>
          </w:tcPr>
          <w:p w14:paraId="40B2CB5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4C7F8DC9">
        <w:tblPrEx>
          <w:tblCellMar>
            <w:top w:w="0" w:type="dxa"/>
            <w:left w:w="108" w:type="dxa"/>
            <w:bottom w:w="0" w:type="dxa"/>
            <w:right w:w="108" w:type="dxa"/>
          </w:tblCellMar>
        </w:tblPrEx>
        <w:trPr>
          <w:trHeight w:val="90"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54D976BD">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682037CB">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58E94274">
            <w:pPr>
              <w:spacing w:line="240" w:lineRule="exact"/>
              <w:jc w:val="center"/>
              <w:rPr>
                <w:rFonts w:hint="eastAsia" w:ascii="仿宋_GB2312" w:hAnsi="仿宋_GB2312" w:eastAsia="仿宋_GB2312" w:cs="仿宋_GB2312"/>
                <w:color w:val="000000"/>
                <w:sz w:val="20"/>
                <w:szCs w:val="20"/>
                <w:highlight w:val="none"/>
              </w:rPr>
            </w:pPr>
          </w:p>
        </w:tc>
        <w:tc>
          <w:tcPr>
            <w:tcW w:w="1740" w:type="dxa"/>
            <w:tcBorders>
              <w:top w:val="nil"/>
              <w:left w:val="nil"/>
              <w:bottom w:val="single" w:color="auto" w:sz="4" w:space="0"/>
              <w:right w:val="single" w:color="auto" w:sz="4" w:space="0"/>
            </w:tcBorders>
            <w:noWrap w:val="0"/>
            <w:vAlign w:val="center"/>
          </w:tcPr>
          <w:p w14:paraId="71D8D6D4">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保证区直各单位人员工资正常发放</w:t>
            </w:r>
          </w:p>
        </w:tc>
        <w:tc>
          <w:tcPr>
            <w:tcW w:w="940" w:type="dxa"/>
            <w:tcBorders>
              <w:top w:val="nil"/>
              <w:left w:val="nil"/>
              <w:bottom w:val="single" w:color="auto" w:sz="4" w:space="0"/>
              <w:right w:val="single" w:color="auto" w:sz="4" w:space="0"/>
            </w:tcBorders>
            <w:noWrap w:val="0"/>
            <w:vAlign w:val="center"/>
          </w:tcPr>
          <w:p w14:paraId="393D91F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按时发放人员工资</w:t>
            </w:r>
          </w:p>
        </w:tc>
        <w:tc>
          <w:tcPr>
            <w:tcW w:w="1730" w:type="dxa"/>
            <w:tcBorders>
              <w:top w:val="nil"/>
              <w:left w:val="nil"/>
              <w:bottom w:val="single" w:color="auto" w:sz="4" w:space="0"/>
              <w:right w:val="single" w:color="auto" w:sz="4" w:space="0"/>
            </w:tcBorders>
            <w:noWrap w:val="0"/>
            <w:vAlign w:val="center"/>
          </w:tcPr>
          <w:p w14:paraId="0B06C87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按时发放</w:t>
            </w:r>
          </w:p>
        </w:tc>
        <w:tc>
          <w:tcPr>
            <w:tcW w:w="650" w:type="dxa"/>
            <w:tcBorders>
              <w:top w:val="nil"/>
              <w:left w:val="nil"/>
              <w:bottom w:val="single" w:color="auto" w:sz="4" w:space="0"/>
              <w:right w:val="single" w:color="auto" w:sz="4" w:space="0"/>
            </w:tcBorders>
            <w:noWrap w:val="0"/>
            <w:vAlign w:val="center"/>
          </w:tcPr>
          <w:p w14:paraId="5FE98A2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50" w:type="dxa"/>
            <w:tcBorders>
              <w:top w:val="nil"/>
              <w:left w:val="nil"/>
              <w:bottom w:val="single" w:color="auto" w:sz="4" w:space="0"/>
              <w:right w:val="single" w:color="auto" w:sz="4" w:space="0"/>
            </w:tcBorders>
            <w:noWrap w:val="0"/>
            <w:vAlign w:val="center"/>
          </w:tcPr>
          <w:p w14:paraId="453BB9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020" w:type="dxa"/>
            <w:tcBorders>
              <w:top w:val="nil"/>
              <w:left w:val="nil"/>
              <w:bottom w:val="single" w:color="auto" w:sz="4" w:space="0"/>
              <w:right w:val="single" w:color="auto" w:sz="4" w:space="0"/>
            </w:tcBorders>
            <w:noWrap w:val="0"/>
            <w:vAlign w:val="center"/>
          </w:tcPr>
          <w:p w14:paraId="6A65400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6DE421F8">
        <w:tblPrEx>
          <w:tblCellMar>
            <w:top w:w="0" w:type="dxa"/>
            <w:left w:w="108" w:type="dxa"/>
            <w:bottom w:w="0" w:type="dxa"/>
            <w:right w:w="108" w:type="dxa"/>
          </w:tblCellMar>
        </w:tblPrEx>
        <w:trPr>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55DF0EB3">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68385B66">
            <w:pPr>
              <w:spacing w:line="240" w:lineRule="exact"/>
              <w:jc w:val="left"/>
              <w:rPr>
                <w:rFonts w:hint="eastAsia" w:ascii="仿宋_GB2312" w:hAnsi="仿宋_GB2312" w:eastAsia="仿宋_GB2312" w:cs="仿宋_GB2312"/>
                <w:color w:val="000000"/>
                <w:sz w:val="20"/>
                <w:szCs w:val="20"/>
                <w:highlight w:val="none"/>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3CABA155">
            <w:pPr>
              <w:widowControl/>
              <w:spacing w:line="240" w:lineRule="exact"/>
              <w:jc w:val="center"/>
              <w:rPr>
                <w:rFonts w:hint="eastAsia" w:ascii="仿宋_GB2312" w:hAnsi="仿宋_GB2312" w:eastAsia="仿宋_GB2312" w:cs="仿宋_GB2312"/>
                <w:color w:val="000000"/>
                <w:sz w:val="20"/>
                <w:szCs w:val="20"/>
                <w:highlight w:val="none"/>
              </w:rPr>
            </w:pPr>
          </w:p>
        </w:tc>
        <w:tc>
          <w:tcPr>
            <w:tcW w:w="1740" w:type="dxa"/>
            <w:tcBorders>
              <w:top w:val="nil"/>
              <w:left w:val="nil"/>
              <w:bottom w:val="single" w:color="auto" w:sz="4" w:space="0"/>
              <w:right w:val="single" w:color="auto" w:sz="4" w:space="0"/>
            </w:tcBorders>
            <w:noWrap w:val="0"/>
            <w:vAlign w:val="center"/>
          </w:tcPr>
          <w:p w14:paraId="117637E5">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提高全区财务管理水平</w:t>
            </w:r>
          </w:p>
        </w:tc>
        <w:tc>
          <w:tcPr>
            <w:tcW w:w="940" w:type="dxa"/>
            <w:tcBorders>
              <w:top w:val="nil"/>
              <w:left w:val="nil"/>
              <w:bottom w:val="single" w:color="auto" w:sz="4" w:space="0"/>
              <w:right w:val="single" w:color="auto" w:sz="4" w:space="0"/>
            </w:tcBorders>
            <w:noWrap w:val="0"/>
            <w:vAlign w:val="center"/>
          </w:tcPr>
          <w:p w14:paraId="77C95A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730" w:type="dxa"/>
            <w:tcBorders>
              <w:top w:val="nil"/>
              <w:left w:val="nil"/>
              <w:bottom w:val="single" w:color="auto" w:sz="4" w:space="0"/>
              <w:right w:val="single" w:color="auto" w:sz="4" w:space="0"/>
            </w:tcBorders>
            <w:noWrap w:val="0"/>
            <w:vAlign w:val="center"/>
          </w:tcPr>
          <w:p w14:paraId="07451DC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比上年增长</w:t>
            </w:r>
          </w:p>
        </w:tc>
        <w:tc>
          <w:tcPr>
            <w:tcW w:w="650" w:type="dxa"/>
            <w:tcBorders>
              <w:top w:val="nil"/>
              <w:left w:val="nil"/>
              <w:bottom w:val="single" w:color="auto" w:sz="4" w:space="0"/>
              <w:right w:val="single" w:color="auto" w:sz="4" w:space="0"/>
            </w:tcBorders>
            <w:noWrap w:val="0"/>
            <w:vAlign w:val="center"/>
          </w:tcPr>
          <w:p w14:paraId="0165411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50" w:type="dxa"/>
            <w:tcBorders>
              <w:top w:val="nil"/>
              <w:left w:val="nil"/>
              <w:bottom w:val="single" w:color="auto" w:sz="4" w:space="0"/>
              <w:right w:val="single" w:color="auto" w:sz="4" w:space="0"/>
            </w:tcBorders>
            <w:noWrap w:val="0"/>
            <w:vAlign w:val="center"/>
          </w:tcPr>
          <w:p w14:paraId="357BE4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020" w:type="dxa"/>
            <w:tcBorders>
              <w:top w:val="nil"/>
              <w:left w:val="nil"/>
              <w:bottom w:val="single" w:color="auto" w:sz="4" w:space="0"/>
              <w:right w:val="single" w:color="auto" w:sz="4" w:space="0"/>
            </w:tcBorders>
            <w:noWrap w:val="0"/>
            <w:vAlign w:val="center"/>
          </w:tcPr>
          <w:p w14:paraId="7808C41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20DCEC8F">
        <w:tblPrEx>
          <w:tblCellMar>
            <w:top w:w="0" w:type="dxa"/>
            <w:left w:w="108" w:type="dxa"/>
            <w:bottom w:w="0" w:type="dxa"/>
            <w:right w:w="108" w:type="dxa"/>
          </w:tblCellMar>
        </w:tblPrEx>
        <w:trPr>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20443641">
            <w:pPr>
              <w:spacing w:line="240" w:lineRule="exact"/>
              <w:jc w:val="left"/>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6D5DF4A8">
            <w:pPr>
              <w:spacing w:line="240" w:lineRule="exact"/>
              <w:jc w:val="left"/>
              <w:rPr>
                <w:rFonts w:hint="eastAsia" w:ascii="仿宋_GB2312" w:hAnsi="仿宋_GB2312" w:eastAsia="仿宋_GB2312" w:cs="仿宋_GB2312"/>
                <w:color w:val="000000"/>
                <w:sz w:val="20"/>
                <w:szCs w:val="20"/>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BB1A3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ED3B8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40" w:type="dxa"/>
            <w:tcBorders>
              <w:top w:val="nil"/>
              <w:left w:val="nil"/>
              <w:bottom w:val="single" w:color="auto" w:sz="4" w:space="0"/>
              <w:right w:val="single" w:color="auto" w:sz="4" w:space="0"/>
            </w:tcBorders>
            <w:noWrap w:val="0"/>
            <w:vAlign w:val="center"/>
          </w:tcPr>
          <w:p w14:paraId="2334C8F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生态环境改善情况</w:t>
            </w:r>
          </w:p>
        </w:tc>
        <w:tc>
          <w:tcPr>
            <w:tcW w:w="940" w:type="dxa"/>
            <w:tcBorders>
              <w:top w:val="nil"/>
              <w:left w:val="nil"/>
              <w:bottom w:val="single" w:color="auto" w:sz="4" w:space="0"/>
              <w:right w:val="single" w:color="auto" w:sz="4" w:space="0"/>
            </w:tcBorders>
            <w:noWrap w:val="0"/>
            <w:vAlign w:val="center"/>
          </w:tcPr>
          <w:p w14:paraId="6F7DE49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生态环境有所改善</w:t>
            </w:r>
          </w:p>
        </w:tc>
        <w:tc>
          <w:tcPr>
            <w:tcW w:w="1730" w:type="dxa"/>
            <w:tcBorders>
              <w:top w:val="nil"/>
              <w:left w:val="nil"/>
              <w:bottom w:val="single" w:color="auto" w:sz="4" w:space="0"/>
              <w:right w:val="single" w:color="auto" w:sz="4" w:space="0"/>
            </w:tcBorders>
            <w:noWrap w:val="0"/>
            <w:vAlign w:val="center"/>
          </w:tcPr>
          <w:p w14:paraId="686599F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比上年进一步改善</w:t>
            </w:r>
          </w:p>
        </w:tc>
        <w:tc>
          <w:tcPr>
            <w:tcW w:w="650" w:type="dxa"/>
            <w:tcBorders>
              <w:top w:val="nil"/>
              <w:left w:val="nil"/>
              <w:bottom w:val="single" w:color="auto" w:sz="4" w:space="0"/>
              <w:right w:val="single" w:color="auto" w:sz="4" w:space="0"/>
            </w:tcBorders>
            <w:noWrap w:val="0"/>
            <w:vAlign w:val="center"/>
          </w:tcPr>
          <w:p w14:paraId="1DC1653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50" w:type="dxa"/>
            <w:tcBorders>
              <w:top w:val="nil"/>
              <w:left w:val="nil"/>
              <w:bottom w:val="single" w:color="auto" w:sz="4" w:space="0"/>
              <w:right w:val="single" w:color="auto" w:sz="4" w:space="0"/>
            </w:tcBorders>
            <w:noWrap w:val="0"/>
            <w:vAlign w:val="center"/>
          </w:tcPr>
          <w:p w14:paraId="5E5C1C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020" w:type="dxa"/>
            <w:tcBorders>
              <w:top w:val="nil"/>
              <w:left w:val="nil"/>
              <w:bottom w:val="single" w:color="auto" w:sz="4" w:space="0"/>
              <w:right w:val="single" w:color="auto" w:sz="4" w:space="0"/>
            </w:tcBorders>
            <w:noWrap w:val="0"/>
            <w:vAlign w:val="center"/>
          </w:tcPr>
          <w:p w14:paraId="4E94B35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62927BA3">
        <w:tblPrEx>
          <w:tblCellMar>
            <w:top w:w="0" w:type="dxa"/>
            <w:left w:w="108" w:type="dxa"/>
            <w:bottom w:w="0" w:type="dxa"/>
            <w:right w:w="108" w:type="dxa"/>
          </w:tblCellMar>
        </w:tblPrEx>
        <w:trPr>
          <w:trHeight w:val="290"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04693316">
            <w:pPr>
              <w:widowControl/>
              <w:spacing w:line="240" w:lineRule="exact"/>
              <w:jc w:val="center"/>
              <w:rPr>
                <w:rFonts w:hint="eastAsia" w:ascii="仿宋_GB2312" w:hAnsi="仿宋_GB2312" w:eastAsia="仿宋_GB2312" w:cs="仿宋_GB2312"/>
                <w:color w:val="000000"/>
                <w:sz w:val="20"/>
                <w:szCs w:val="20"/>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6336B659">
            <w:pPr>
              <w:widowControl/>
              <w:spacing w:line="240" w:lineRule="exact"/>
              <w:jc w:val="left"/>
              <w:rPr>
                <w:rFonts w:hint="eastAsia" w:ascii="仿宋_GB2312" w:hAnsi="仿宋_GB2312" w:eastAsia="仿宋_GB2312" w:cs="仿宋_GB2312"/>
                <w:color w:val="000000"/>
                <w:sz w:val="20"/>
                <w:szCs w:val="20"/>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9DAB9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E593CB">
            <w:pPr>
              <w:keepNext w:val="0"/>
              <w:keepLines w:val="0"/>
              <w:widowControl/>
              <w:suppressLineNumbers w:val="0"/>
              <w:jc w:val="left"/>
              <w:textAlignment w:val="center"/>
              <w:rPr>
                <w:rFonts w:hint="eastAsia" w:ascii="仿宋_GB2312" w:hAnsi="仿宋_GB2312" w:eastAsia="仿宋_GB2312" w:cs="仿宋_GB2312"/>
                <w:color w:val="000000"/>
                <w:kern w:val="0"/>
                <w:sz w:val="18"/>
                <w:szCs w:val="18"/>
                <w:highlight w:val="none"/>
                <w:lang w:val="en-US" w:eastAsia="zh-CN" w:bidi="ar-SA"/>
              </w:rPr>
            </w:pPr>
            <w:r>
              <w:rPr>
                <w:rFonts w:hint="eastAsia" w:ascii="宋体" w:hAnsi="宋体" w:cs="宋体"/>
                <w:i w:val="0"/>
                <w:iCs w:val="0"/>
                <w:color w:val="000000"/>
                <w:kern w:val="0"/>
                <w:sz w:val="14"/>
                <w:szCs w:val="14"/>
                <w:u w:val="none"/>
                <w:lang w:val="en-US" w:eastAsia="zh-CN" w:bidi="ar"/>
              </w:rPr>
              <w:t>财政运行</w:t>
            </w:r>
            <w:r>
              <w:rPr>
                <w:rFonts w:hint="eastAsia" w:ascii="宋体" w:hAnsi="宋体" w:eastAsia="宋体" w:cs="宋体"/>
                <w:i w:val="0"/>
                <w:iCs w:val="0"/>
                <w:color w:val="000000"/>
                <w:kern w:val="0"/>
                <w:sz w:val="14"/>
                <w:szCs w:val="14"/>
                <w:u w:val="none"/>
                <w:lang w:val="en-US" w:eastAsia="zh-CN" w:bidi="ar"/>
              </w:rPr>
              <w:t>风险事件</w:t>
            </w:r>
          </w:p>
        </w:tc>
        <w:tc>
          <w:tcPr>
            <w:tcW w:w="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1F000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cs="宋体"/>
                <w:i w:val="0"/>
                <w:iCs w:val="0"/>
                <w:color w:val="000000"/>
                <w:kern w:val="0"/>
                <w:sz w:val="14"/>
                <w:szCs w:val="14"/>
                <w:u w:val="none"/>
                <w:lang w:val="en-US" w:eastAsia="zh-CN" w:bidi="ar"/>
              </w:rPr>
              <w:t>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CC67B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14"/>
                <w:szCs w:val="14"/>
                <w:u w:val="none"/>
                <w:lang w:val="en-US" w:eastAsia="zh-CN" w:bidi="ar"/>
              </w:rPr>
              <w:t>不出现风险事件</w:t>
            </w:r>
          </w:p>
        </w:tc>
        <w:tc>
          <w:tcPr>
            <w:tcW w:w="6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EAB4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2EEE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483728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7B8B4BDE">
        <w:tblPrEx>
          <w:tblCellMar>
            <w:top w:w="0" w:type="dxa"/>
            <w:left w:w="108" w:type="dxa"/>
            <w:bottom w:w="0" w:type="dxa"/>
            <w:right w:w="108" w:type="dxa"/>
          </w:tblCellMar>
        </w:tblPrEx>
        <w:trPr>
          <w:trHeight w:val="330" w:hRule="atLeast"/>
          <w:jc w:val="center"/>
        </w:trPr>
        <w:tc>
          <w:tcPr>
            <w:tcW w:w="1050" w:type="dxa"/>
            <w:vMerge w:val="continue"/>
            <w:tcBorders>
              <w:top w:val="single" w:color="auto" w:sz="4" w:space="0"/>
              <w:left w:val="single" w:color="auto" w:sz="4" w:space="0"/>
              <w:right w:val="single" w:color="auto" w:sz="4" w:space="0"/>
            </w:tcBorders>
            <w:noWrap w:val="0"/>
            <w:vAlign w:val="center"/>
          </w:tcPr>
          <w:p w14:paraId="1E08F7D2">
            <w:pPr>
              <w:spacing w:line="240" w:lineRule="exact"/>
              <w:jc w:val="left"/>
              <w:rPr>
                <w:rFonts w:hint="eastAsia" w:ascii="仿宋_GB2312" w:hAnsi="仿宋_GB2312" w:eastAsia="仿宋_GB2312" w:cs="仿宋_GB2312"/>
                <w:color w:val="000000"/>
                <w:sz w:val="20"/>
                <w:szCs w:val="20"/>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10C39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0分）</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544A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经济成本指标</w:t>
            </w:r>
          </w:p>
        </w:tc>
        <w:tc>
          <w:tcPr>
            <w:tcW w:w="1740" w:type="dxa"/>
            <w:tcBorders>
              <w:top w:val="nil"/>
              <w:left w:val="nil"/>
              <w:bottom w:val="single" w:color="auto" w:sz="4" w:space="0"/>
              <w:right w:val="single" w:color="auto" w:sz="4" w:space="0"/>
            </w:tcBorders>
            <w:shd w:val="clear" w:color="auto" w:fill="auto"/>
            <w:noWrap w:val="0"/>
            <w:vAlign w:val="center"/>
          </w:tcPr>
          <w:p w14:paraId="255620C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财政资金支出</w:t>
            </w:r>
          </w:p>
        </w:tc>
        <w:tc>
          <w:tcPr>
            <w:tcW w:w="940" w:type="dxa"/>
            <w:tcBorders>
              <w:top w:val="nil"/>
              <w:left w:val="nil"/>
              <w:bottom w:val="single" w:color="auto" w:sz="4" w:space="0"/>
              <w:right w:val="single" w:color="auto" w:sz="4" w:space="0"/>
            </w:tcBorders>
            <w:shd w:val="clear" w:color="auto" w:fill="auto"/>
            <w:noWrap w:val="0"/>
            <w:vAlign w:val="center"/>
          </w:tcPr>
          <w:p w14:paraId="58F5833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w:t>
            </w:r>
            <w:r>
              <w:rPr>
                <w:rFonts w:hint="eastAsia" w:ascii="仿宋_GB2312" w:hAnsi="仿宋_GB2312" w:eastAsia="仿宋_GB2312" w:cs="仿宋_GB2312"/>
                <w:color w:val="auto"/>
                <w:sz w:val="20"/>
                <w:szCs w:val="20"/>
                <w:highlight w:val="none"/>
                <w:lang w:val="en-US" w:eastAsia="zh-CN"/>
              </w:rPr>
              <w:t>1204.39</w:t>
            </w:r>
            <w:r>
              <w:rPr>
                <w:rFonts w:hint="eastAsia" w:ascii="仿宋_GB2312" w:hAnsi="仿宋_GB2312" w:eastAsia="仿宋_GB2312" w:cs="仿宋_GB2312"/>
                <w:i w:val="0"/>
                <w:iCs w:val="0"/>
                <w:color w:val="auto"/>
                <w:kern w:val="0"/>
                <w:sz w:val="18"/>
                <w:szCs w:val="18"/>
                <w:u w:val="none"/>
                <w:lang w:val="en-US" w:eastAsia="zh-CN" w:bidi="ar"/>
              </w:rPr>
              <w:t>万元</w:t>
            </w:r>
          </w:p>
        </w:tc>
        <w:tc>
          <w:tcPr>
            <w:tcW w:w="1730" w:type="dxa"/>
            <w:tcBorders>
              <w:top w:val="nil"/>
              <w:left w:val="nil"/>
              <w:bottom w:val="single" w:color="auto" w:sz="4" w:space="0"/>
              <w:right w:val="single" w:color="auto" w:sz="4" w:space="0"/>
            </w:tcBorders>
            <w:shd w:val="clear" w:color="auto" w:fill="auto"/>
            <w:noWrap w:val="0"/>
            <w:vAlign w:val="center"/>
          </w:tcPr>
          <w:p w14:paraId="0E3E717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sz w:val="20"/>
                <w:szCs w:val="20"/>
                <w:highlight w:val="none"/>
                <w:lang w:val="en-US" w:eastAsia="zh-CN"/>
              </w:rPr>
              <w:t>1120.21</w:t>
            </w:r>
            <w:r>
              <w:rPr>
                <w:rFonts w:hint="eastAsia" w:ascii="仿宋_GB2312" w:hAnsi="仿宋_GB2312" w:eastAsia="仿宋_GB2312" w:cs="仿宋_GB2312"/>
                <w:i w:val="0"/>
                <w:iCs w:val="0"/>
                <w:color w:val="auto"/>
                <w:kern w:val="0"/>
                <w:sz w:val="18"/>
                <w:szCs w:val="18"/>
                <w:u w:val="none"/>
                <w:lang w:val="en-US" w:eastAsia="zh-CN" w:bidi="ar"/>
              </w:rPr>
              <w:t>万元</w:t>
            </w:r>
          </w:p>
        </w:tc>
        <w:tc>
          <w:tcPr>
            <w:tcW w:w="650" w:type="dxa"/>
            <w:tcBorders>
              <w:top w:val="nil"/>
              <w:left w:val="nil"/>
              <w:bottom w:val="single" w:color="auto" w:sz="4" w:space="0"/>
              <w:right w:val="single" w:color="auto" w:sz="4" w:space="0"/>
            </w:tcBorders>
            <w:shd w:val="clear" w:color="auto" w:fill="auto"/>
            <w:noWrap w:val="0"/>
            <w:vAlign w:val="center"/>
          </w:tcPr>
          <w:p w14:paraId="5911976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50" w:type="dxa"/>
            <w:tcBorders>
              <w:top w:val="nil"/>
              <w:left w:val="nil"/>
              <w:bottom w:val="single" w:color="auto" w:sz="4" w:space="0"/>
              <w:right w:val="single" w:color="auto" w:sz="4" w:space="0"/>
            </w:tcBorders>
            <w:shd w:val="clear" w:color="auto" w:fill="auto"/>
            <w:noWrap w:val="0"/>
            <w:vAlign w:val="center"/>
          </w:tcPr>
          <w:p w14:paraId="5937B2B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020" w:type="dxa"/>
            <w:tcBorders>
              <w:top w:val="nil"/>
              <w:left w:val="nil"/>
              <w:bottom w:val="single" w:color="auto" w:sz="4" w:space="0"/>
              <w:right w:val="single" w:color="auto" w:sz="4" w:space="0"/>
            </w:tcBorders>
            <w:noWrap w:val="0"/>
            <w:vAlign w:val="center"/>
          </w:tcPr>
          <w:p w14:paraId="463C989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6943C813">
        <w:tblPrEx>
          <w:tblCellMar>
            <w:top w:w="0" w:type="dxa"/>
            <w:left w:w="108" w:type="dxa"/>
            <w:bottom w:w="0" w:type="dxa"/>
            <w:right w:w="108" w:type="dxa"/>
          </w:tblCellMar>
        </w:tblPrEx>
        <w:trPr>
          <w:trHeight w:val="330" w:hRule="atLeast"/>
          <w:jc w:val="center"/>
        </w:trPr>
        <w:tc>
          <w:tcPr>
            <w:tcW w:w="1050" w:type="dxa"/>
            <w:vMerge w:val="continue"/>
            <w:tcBorders>
              <w:top w:val="single" w:color="auto" w:sz="4" w:space="0"/>
              <w:left w:val="single" w:color="auto" w:sz="4" w:space="0"/>
              <w:right w:val="single" w:color="auto" w:sz="4" w:space="0"/>
            </w:tcBorders>
            <w:noWrap w:val="0"/>
            <w:vAlign w:val="center"/>
          </w:tcPr>
          <w:p w14:paraId="37ECDF46">
            <w:pPr>
              <w:spacing w:line="240" w:lineRule="exact"/>
              <w:jc w:val="left"/>
              <w:rPr>
                <w:rFonts w:hint="eastAsia" w:ascii="仿宋_GB2312" w:hAnsi="仿宋_GB2312" w:eastAsia="仿宋_GB2312" w:cs="仿宋_GB2312"/>
                <w:color w:val="000000"/>
                <w:sz w:val="20"/>
                <w:szCs w:val="20"/>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6194E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68B34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E1DE74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60AE68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740" w:type="dxa"/>
            <w:tcBorders>
              <w:top w:val="nil"/>
              <w:left w:val="nil"/>
              <w:bottom w:val="single" w:color="auto" w:sz="4" w:space="0"/>
              <w:right w:val="single" w:color="auto" w:sz="4" w:space="0"/>
            </w:tcBorders>
            <w:noWrap w:val="0"/>
            <w:vAlign w:val="center"/>
          </w:tcPr>
          <w:p w14:paraId="5066DB5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区直各预算部门满意</w:t>
            </w:r>
          </w:p>
        </w:tc>
        <w:tc>
          <w:tcPr>
            <w:tcW w:w="940" w:type="dxa"/>
            <w:tcBorders>
              <w:top w:val="nil"/>
              <w:left w:val="nil"/>
              <w:bottom w:val="single" w:color="auto" w:sz="4" w:space="0"/>
              <w:right w:val="single" w:color="auto" w:sz="4" w:space="0"/>
            </w:tcBorders>
            <w:noWrap w:val="0"/>
            <w:vAlign w:val="center"/>
          </w:tcPr>
          <w:p w14:paraId="0932EA4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≥90%</w:t>
            </w:r>
          </w:p>
        </w:tc>
        <w:tc>
          <w:tcPr>
            <w:tcW w:w="1730" w:type="dxa"/>
            <w:tcBorders>
              <w:top w:val="nil"/>
              <w:left w:val="nil"/>
              <w:bottom w:val="single" w:color="auto" w:sz="4" w:space="0"/>
              <w:right w:val="single" w:color="auto" w:sz="4" w:space="0"/>
            </w:tcBorders>
            <w:noWrap w:val="0"/>
            <w:vAlign w:val="center"/>
          </w:tcPr>
          <w:p w14:paraId="6FBD819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≥91%</w:t>
            </w:r>
          </w:p>
        </w:tc>
        <w:tc>
          <w:tcPr>
            <w:tcW w:w="650" w:type="dxa"/>
            <w:tcBorders>
              <w:top w:val="nil"/>
              <w:left w:val="nil"/>
              <w:bottom w:val="single" w:color="auto" w:sz="4" w:space="0"/>
              <w:right w:val="single" w:color="auto" w:sz="4" w:space="0"/>
            </w:tcBorders>
            <w:noWrap w:val="0"/>
            <w:vAlign w:val="center"/>
          </w:tcPr>
          <w:p w14:paraId="3181220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50" w:type="dxa"/>
            <w:tcBorders>
              <w:top w:val="nil"/>
              <w:left w:val="nil"/>
              <w:bottom w:val="single" w:color="auto" w:sz="4" w:space="0"/>
              <w:right w:val="single" w:color="auto" w:sz="4" w:space="0"/>
            </w:tcBorders>
            <w:noWrap w:val="0"/>
            <w:vAlign w:val="center"/>
          </w:tcPr>
          <w:p w14:paraId="13FFA73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020" w:type="dxa"/>
            <w:tcBorders>
              <w:top w:val="nil"/>
              <w:left w:val="nil"/>
              <w:bottom w:val="single" w:color="auto" w:sz="4" w:space="0"/>
              <w:right w:val="single" w:color="auto" w:sz="4" w:space="0"/>
            </w:tcBorders>
            <w:noWrap w:val="0"/>
            <w:vAlign w:val="center"/>
          </w:tcPr>
          <w:p w14:paraId="6B09A37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615455F7">
        <w:tblPrEx>
          <w:tblCellMar>
            <w:top w:w="0" w:type="dxa"/>
            <w:left w:w="108" w:type="dxa"/>
            <w:bottom w:w="0" w:type="dxa"/>
            <w:right w:w="108" w:type="dxa"/>
          </w:tblCellMar>
        </w:tblPrEx>
        <w:trPr>
          <w:trHeight w:val="530" w:hRule="atLeast"/>
          <w:jc w:val="center"/>
        </w:trPr>
        <w:tc>
          <w:tcPr>
            <w:tcW w:w="7380" w:type="dxa"/>
            <w:gridSpan w:val="6"/>
            <w:tcBorders>
              <w:top w:val="single" w:color="auto" w:sz="4" w:space="0"/>
              <w:left w:val="single" w:color="auto" w:sz="4" w:space="0"/>
              <w:bottom w:val="single" w:color="auto" w:sz="4" w:space="0"/>
              <w:right w:val="single" w:color="000000" w:sz="4" w:space="0"/>
            </w:tcBorders>
            <w:noWrap w:val="0"/>
            <w:vAlign w:val="center"/>
          </w:tcPr>
          <w:p w14:paraId="0471D7D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50" w:type="dxa"/>
            <w:tcBorders>
              <w:top w:val="nil"/>
              <w:left w:val="nil"/>
              <w:bottom w:val="single" w:color="auto" w:sz="4" w:space="0"/>
              <w:right w:val="single" w:color="auto" w:sz="4" w:space="0"/>
            </w:tcBorders>
            <w:noWrap w:val="0"/>
            <w:vAlign w:val="center"/>
          </w:tcPr>
          <w:p w14:paraId="4670F6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50" w:type="dxa"/>
            <w:tcBorders>
              <w:top w:val="nil"/>
              <w:left w:val="nil"/>
              <w:bottom w:val="single" w:color="auto" w:sz="4" w:space="0"/>
              <w:right w:val="single" w:color="auto" w:sz="4" w:space="0"/>
            </w:tcBorders>
            <w:noWrap w:val="0"/>
            <w:vAlign w:val="center"/>
          </w:tcPr>
          <w:p w14:paraId="204898C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99.3</w:t>
            </w:r>
          </w:p>
        </w:tc>
        <w:tc>
          <w:tcPr>
            <w:tcW w:w="1020" w:type="dxa"/>
            <w:tcBorders>
              <w:top w:val="nil"/>
              <w:left w:val="nil"/>
              <w:bottom w:val="single" w:color="auto" w:sz="4" w:space="0"/>
              <w:right w:val="single" w:color="auto" w:sz="4" w:space="0"/>
            </w:tcBorders>
            <w:noWrap w:val="0"/>
            <w:vAlign w:val="center"/>
          </w:tcPr>
          <w:p w14:paraId="350A73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002A9F2">
      <w:pPr>
        <w:pStyle w:val="2"/>
        <w:rPr>
          <w:rFonts w:hint="default" w:ascii="Times New Roman" w:hAnsi="Times New Roman" w:eastAsia="仿宋_GB2312" w:cs="Times New Roman"/>
          <w:sz w:val="22"/>
          <w:highlight w:val="none"/>
        </w:rPr>
      </w:pPr>
    </w:p>
    <w:p w14:paraId="3B0EBC22">
      <w:pPr>
        <w:pStyle w:val="2"/>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eastAsia="zh-CN"/>
        </w:rPr>
        <w:t>徐皓</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冯慧</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18274069188</w:t>
      </w:r>
    </w:p>
    <w:p w14:paraId="177B3936">
      <w:pPr>
        <w:pStyle w:val="2"/>
        <w:rPr>
          <w:rFonts w:hint="eastAsia"/>
          <w:lang w:val="en-US" w:eastAsia="zh-CN"/>
        </w:rPr>
      </w:pP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2025年5月8日</w:t>
      </w:r>
    </w:p>
    <w:p w14:paraId="27654019">
      <w:pPr>
        <w:widowControl/>
        <w:spacing w:line="600" w:lineRule="exact"/>
        <w:jc w:val="left"/>
        <w:rPr>
          <w:rFonts w:hint="default" w:ascii="Times New Roman" w:hAnsi="Times New Roman" w:eastAsia="仿宋_GB2312" w:cs="Times New Roman"/>
          <w:sz w:val="22"/>
          <w:highlight w:val="none"/>
        </w:rPr>
      </w:pPr>
    </w:p>
    <w:p w14:paraId="5FE64B06">
      <w:pPr>
        <w:widowControl/>
        <w:spacing w:line="600" w:lineRule="exact"/>
        <w:jc w:val="left"/>
        <w:rPr>
          <w:rFonts w:hint="default" w:ascii="Times New Roman" w:hAnsi="Times New Roman" w:eastAsia="仿宋_GB2312" w:cs="Times New Roman"/>
          <w:sz w:val="22"/>
          <w:highlight w:val="none"/>
        </w:rPr>
      </w:pPr>
    </w:p>
    <w:p w14:paraId="1A097191">
      <w:pPr>
        <w:widowControl/>
        <w:spacing w:line="600" w:lineRule="exact"/>
        <w:jc w:val="left"/>
        <w:rPr>
          <w:rFonts w:hint="default" w:ascii="Times New Roman" w:hAnsi="Times New Roman" w:eastAsia="仿宋_GB2312" w:cs="Times New Roman"/>
          <w:sz w:val="22"/>
          <w:highlight w:val="none"/>
        </w:rPr>
      </w:pPr>
    </w:p>
    <w:p w14:paraId="47EB433A">
      <w:pPr>
        <w:widowControl/>
        <w:spacing w:line="600" w:lineRule="exact"/>
        <w:jc w:val="left"/>
        <w:rPr>
          <w:rFonts w:hint="default" w:ascii="Times New Roman" w:hAnsi="Times New Roman" w:eastAsia="仿宋_GB2312" w:cs="Times New Roman"/>
          <w:sz w:val="22"/>
          <w:highlight w:val="none"/>
        </w:rPr>
      </w:pPr>
    </w:p>
    <w:p w14:paraId="16067F57">
      <w:pPr>
        <w:pStyle w:val="2"/>
        <w:rPr>
          <w:rFonts w:hint="default" w:ascii="Times New Roman" w:hAnsi="Times New Roman" w:eastAsia="仿宋_GB2312" w:cs="Times New Roman"/>
          <w:sz w:val="22"/>
          <w:highlight w:val="none"/>
        </w:rPr>
      </w:pPr>
    </w:p>
    <w:p w14:paraId="7F16F525">
      <w:pPr>
        <w:pStyle w:val="2"/>
        <w:rPr>
          <w:rFonts w:hint="default" w:ascii="Times New Roman" w:hAnsi="Times New Roman" w:eastAsia="仿宋_GB2312" w:cs="Times New Roman"/>
          <w:sz w:val="22"/>
          <w:highlight w:val="none"/>
        </w:rPr>
      </w:pPr>
    </w:p>
    <w:p w14:paraId="46938A20">
      <w:pPr>
        <w:pStyle w:val="2"/>
        <w:rPr>
          <w:rFonts w:hint="default" w:ascii="Times New Roman" w:hAnsi="Times New Roman" w:eastAsia="仿宋_GB2312" w:cs="Times New Roman"/>
          <w:sz w:val="22"/>
          <w:highlight w:val="none"/>
        </w:rPr>
      </w:pPr>
    </w:p>
    <w:p w14:paraId="181DA02C">
      <w:pPr>
        <w:pStyle w:val="2"/>
        <w:rPr>
          <w:rFonts w:hint="default" w:ascii="Times New Roman" w:hAnsi="Times New Roman" w:eastAsia="仿宋_GB2312" w:cs="Times New Roman"/>
          <w:sz w:val="22"/>
          <w:highlight w:val="none"/>
        </w:rPr>
      </w:pPr>
    </w:p>
    <w:p w14:paraId="57CBA6A8">
      <w:pPr>
        <w:pStyle w:val="2"/>
        <w:rPr>
          <w:rFonts w:hint="default" w:ascii="Times New Roman" w:hAnsi="Times New Roman" w:eastAsia="仿宋_GB2312" w:cs="Times New Roman"/>
          <w:sz w:val="22"/>
          <w:highlight w:val="none"/>
        </w:rPr>
      </w:pPr>
    </w:p>
    <w:p w14:paraId="537B16ED">
      <w:pPr>
        <w:pStyle w:val="2"/>
        <w:rPr>
          <w:rFonts w:hint="default" w:ascii="Times New Roman" w:hAnsi="Times New Roman" w:eastAsia="仿宋_GB2312" w:cs="Times New Roman"/>
          <w:sz w:val="22"/>
          <w:highlight w:val="none"/>
        </w:rPr>
      </w:pPr>
    </w:p>
    <w:p w14:paraId="08F2753F">
      <w:pPr>
        <w:pStyle w:val="2"/>
        <w:rPr>
          <w:rFonts w:hint="default" w:ascii="Times New Roman" w:hAnsi="Times New Roman" w:eastAsia="仿宋_GB2312" w:cs="Times New Roman"/>
          <w:sz w:val="22"/>
          <w:highlight w:val="none"/>
        </w:rPr>
      </w:pPr>
    </w:p>
    <w:p w14:paraId="12270FB0">
      <w:pPr>
        <w:pStyle w:val="2"/>
        <w:rPr>
          <w:rFonts w:hint="default" w:ascii="Times New Roman" w:hAnsi="Times New Roman" w:eastAsia="仿宋_GB2312" w:cs="Times New Roman"/>
          <w:sz w:val="22"/>
          <w:highlight w:val="none"/>
        </w:rPr>
      </w:pPr>
    </w:p>
    <w:p w14:paraId="1C147201">
      <w:pPr>
        <w:pStyle w:val="2"/>
        <w:rPr>
          <w:rFonts w:hint="default" w:ascii="Times New Roman" w:hAnsi="Times New Roman" w:eastAsia="仿宋_GB2312" w:cs="Times New Roman"/>
          <w:sz w:val="22"/>
          <w:highlight w:val="none"/>
        </w:rPr>
      </w:pPr>
    </w:p>
    <w:p w14:paraId="570F98B5">
      <w:pPr>
        <w:pStyle w:val="2"/>
        <w:rPr>
          <w:rFonts w:hint="default" w:ascii="Times New Roman" w:hAnsi="Times New Roman" w:eastAsia="仿宋_GB2312" w:cs="Times New Roman"/>
          <w:sz w:val="22"/>
          <w:highlight w:val="none"/>
        </w:rPr>
      </w:pPr>
    </w:p>
    <w:p w14:paraId="36B3B1DC">
      <w:pPr>
        <w:pStyle w:val="2"/>
        <w:rPr>
          <w:rFonts w:hint="default" w:ascii="Times New Roman" w:hAnsi="Times New Roman" w:eastAsia="仿宋_GB2312" w:cs="Times New Roman"/>
          <w:sz w:val="22"/>
          <w:highlight w:val="none"/>
        </w:rPr>
      </w:pPr>
    </w:p>
    <w:p w14:paraId="278D6EB0">
      <w:pPr>
        <w:pStyle w:val="2"/>
        <w:rPr>
          <w:rFonts w:hint="default" w:ascii="Times New Roman" w:hAnsi="Times New Roman" w:eastAsia="仿宋_GB2312" w:cs="Times New Roman"/>
          <w:sz w:val="22"/>
          <w:highlight w:val="none"/>
        </w:rPr>
      </w:pPr>
    </w:p>
    <w:p w14:paraId="376A4006">
      <w:pPr>
        <w:pStyle w:val="2"/>
        <w:rPr>
          <w:rFonts w:hint="default" w:ascii="Times New Roman" w:hAnsi="Times New Roman" w:eastAsia="仿宋_GB2312" w:cs="Times New Roman"/>
          <w:sz w:val="22"/>
          <w:highlight w:val="none"/>
        </w:rPr>
      </w:pPr>
    </w:p>
    <w:p w14:paraId="0507E210">
      <w:pPr>
        <w:pStyle w:val="2"/>
        <w:rPr>
          <w:rFonts w:hint="default" w:ascii="Times New Roman" w:hAnsi="Times New Roman" w:eastAsia="仿宋_GB2312" w:cs="Times New Roman"/>
          <w:sz w:val="22"/>
          <w:highlight w:val="none"/>
        </w:rPr>
      </w:pPr>
    </w:p>
    <w:p w14:paraId="4D5E7EA4">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79AE26E">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70857C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812F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1E687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8A17D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b/>
                <w:bCs/>
                <w:sz w:val="18"/>
                <w:szCs w:val="18"/>
                <w:highlight w:val="none"/>
              </w:rPr>
              <w:t>业务工作经费</w:t>
            </w:r>
            <w:r>
              <w:rPr>
                <w:rFonts w:hint="eastAsia" w:ascii="仿宋_GB2312" w:hAnsi="仿宋_GB2312" w:eastAsia="仿宋_GB2312" w:cs="仿宋_GB2312"/>
                <w:b/>
                <w:bCs/>
                <w:color w:val="000000"/>
                <w:sz w:val="20"/>
                <w:szCs w:val="20"/>
                <w:highlight w:val="none"/>
              </w:rPr>
              <w:t>　</w:t>
            </w:r>
          </w:p>
        </w:tc>
      </w:tr>
      <w:tr w14:paraId="695FBD4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70D12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42C05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岳阳市君山区财政局</w:t>
            </w:r>
          </w:p>
        </w:tc>
        <w:tc>
          <w:tcPr>
            <w:tcW w:w="1134" w:type="dxa"/>
            <w:tcBorders>
              <w:top w:val="single" w:color="auto" w:sz="4" w:space="0"/>
              <w:left w:val="nil"/>
              <w:bottom w:val="single" w:color="auto" w:sz="4" w:space="0"/>
              <w:right w:val="single" w:color="000000" w:sz="4" w:space="0"/>
            </w:tcBorders>
            <w:noWrap w:val="0"/>
            <w:vAlign w:val="center"/>
          </w:tcPr>
          <w:p w14:paraId="25724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4382E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岳阳市君山区财政局</w:t>
            </w:r>
            <w:r>
              <w:rPr>
                <w:rFonts w:hint="eastAsia" w:ascii="仿宋_GB2312" w:hAnsi="仿宋_GB2312" w:eastAsia="仿宋_GB2312" w:cs="仿宋_GB2312"/>
                <w:color w:val="000000"/>
                <w:sz w:val="20"/>
                <w:szCs w:val="20"/>
                <w:highlight w:val="none"/>
              </w:rPr>
              <w:t>　</w:t>
            </w:r>
          </w:p>
        </w:tc>
      </w:tr>
      <w:tr w14:paraId="66C294F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EC484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3A3F88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CC998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7EF43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3DDEB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652C0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DF55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8B013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54023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9CB9FC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3127E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E09F36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D762E8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C4FAE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5EF0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33300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471.35</w:t>
            </w:r>
          </w:p>
        </w:tc>
        <w:tc>
          <w:tcPr>
            <w:tcW w:w="1134" w:type="dxa"/>
            <w:tcBorders>
              <w:top w:val="nil"/>
              <w:left w:val="nil"/>
              <w:bottom w:val="single" w:color="auto" w:sz="4" w:space="0"/>
              <w:right w:val="single" w:color="auto" w:sz="4" w:space="0"/>
            </w:tcBorders>
            <w:noWrap w:val="0"/>
            <w:vAlign w:val="center"/>
          </w:tcPr>
          <w:p w14:paraId="7EF4C4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393.57</w:t>
            </w:r>
          </w:p>
        </w:tc>
        <w:tc>
          <w:tcPr>
            <w:tcW w:w="1134" w:type="dxa"/>
            <w:tcBorders>
              <w:top w:val="nil"/>
              <w:left w:val="nil"/>
              <w:bottom w:val="single" w:color="auto" w:sz="4" w:space="0"/>
              <w:right w:val="single" w:color="auto" w:sz="4" w:space="0"/>
            </w:tcBorders>
            <w:noWrap w:val="0"/>
            <w:vAlign w:val="center"/>
          </w:tcPr>
          <w:p w14:paraId="7868C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393.57</w:t>
            </w:r>
          </w:p>
        </w:tc>
        <w:tc>
          <w:tcPr>
            <w:tcW w:w="828" w:type="dxa"/>
            <w:tcBorders>
              <w:top w:val="nil"/>
              <w:left w:val="nil"/>
              <w:bottom w:val="single" w:color="auto" w:sz="4" w:space="0"/>
              <w:right w:val="single" w:color="auto" w:sz="4" w:space="0"/>
            </w:tcBorders>
            <w:noWrap w:val="0"/>
            <w:vAlign w:val="center"/>
          </w:tcPr>
          <w:p w14:paraId="0965E0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672939D7">
            <w:pPr>
              <w:spacing w:line="24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22CBBF6">
            <w:pPr>
              <w:spacing w:line="24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w:t>
            </w:r>
          </w:p>
        </w:tc>
      </w:tr>
      <w:tr w14:paraId="63CC8D9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8C9A0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21D39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1DB5A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471.35</w:t>
            </w:r>
          </w:p>
        </w:tc>
        <w:tc>
          <w:tcPr>
            <w:tcW w:w="1134" w:type="dxa"/>
            <w:tcBorders>
              <w:top w:val="nil"/>
              <w:left w:val="nil"/>
              <w:bottom w:val="single" w:color="auto" w:sz="4" w:space="0"/>
              <w:right w:val="single" w:color="auto" w:sz="4" w:space="0"/>
            </w:tcBorders>
            <w:noWrap w:val="0"/>
            <w:vAlign w:val="center"/>
          </w:tcPr>
          <w:p w14:paraId="70BBC7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393.57</w:t>
            </w:r>
          </w:p>
        </w:tc>
        <w:tc>
          <w:tcPr>
            <w:tcW w:w="1134" w:type="dxa"/>
            <w:tcBorders>
              <w:top w:val="nil"/>
              <w:left w:val="nil"/>
              <w:bottom w:val="single" w:color="auto" w:sz="4" w:space="0"/>
              <w:right w:val="single" w:color="auto" w:sz="4" w:space="0"/>
            </w:tcBorders>
            <w:noWrap w:val="0"/>
            <w:vAlign w:val="center"/>
          </w:tcPr>
          <w:p w14:paraId="3CA555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393.57</w:t>
            </w:r>
          </w:p>
        </w:tc>
        <w:tc>
          <w:tcPr>
            <w:tcW w:w="828" w:type="dxa"/>
            <w:tcBorders>
              <w:top w:val="nil"/>
              <w:left w:val="nil"/>
              <w:bottom w:val="single" w:color="auto" w:sz="4" w:space="0"/>
              <w:right w:val="single" w:color="auto" w:sz="4" w:space="0"/>
            </w:tcBorders>
            <w:noWrap w:val="0"/>
            <w:vAlign w:val="center"/>
          </w:tcPr>
          <w:p w14:paraId="008704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BAA61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B6483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F24AD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96E7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5EFFD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7D185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BF7B4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B7916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4F8D2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4D804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A1551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18B17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526B3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54ADF3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E4824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84EAC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B9E90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0F9A5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72A27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5D42D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C4A13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A5DBE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210C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B22F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E8985B6">
        <w:tblPrEx>
          <w:tblCellMar>
            <w:top w:w="0" w:type="dxa"/>
            <w:left w:w="108" w:type="dxa"/>
            <w:bottom w:w="0" w:type="dxa"/>
            <w:right w:w="108" w:type="dxa"/>
          </w:tblCellMar>
        </w:tblPrEx>
        <w:trPr>
          <w:trHeight w:val="146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6C3F2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F87E1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狠抓收入管理，增强财政综合实力；深化财政改革，确保体制机制完善；防范财政风险，支持经济稳健发展；强化支出保障，彰显财政公共职能；严格财政监督，提高资金使用绩效。　</w:t>
            </w:r>
          </w:p>
        </w:tc>
        <w:tc>
          <w:tcPr>
            <w:tcW w:w="4253" w:type="dxa"/>
            <w:gridSpan w:val="4"/>
            <w:tcBorders>
              <w:top w:val="single" w:color="auto" w:sz="4" w:space="0"/>
              <w:left w:val="nil"/>
              <w:bottom w:val="single" w:color="auto" w:sz="4" w:space="0"/>
              <w:right w:val="single" w:color="auto" w:sz="4" w:space="0"/>
            </w:tcBorders>
            <w:noWrap w:val="0"/>
            <w:vAlign w:val="center"/>
          </w:tcPr>
          <w:p w14:paraId="0398FE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组织收入</w:t>
            </w:r>
            <w:r>
              <w:rPr>
                <w:rFonts w:hint="eastAsia" w:ascii="仿宋_GB2312" w:hAnsi="仿宋_GB2312" w:eastAsia="仿宋_GB2312" w:cs="仿宋_GB2312"/>
                <w:color w:val="000000"/>
                <w:sz w:val="20"/>
                <w:szCs w:val="20"/>
                <w:highlight w:val="none"/>
                <w:lang w:eastAsia="zh-CN"/>
              </w:rPr>
              <w:t>积极有为：</w:t>
            </w:r>
            <w:r>
              <w:rPr>
                <w:rFonts w:hint="eastAsia" w:ascii="仿宋_GB2312" w:hAnsi="仿宋_GB2312" w:eastAsia="仿宋_GB2312" w:cs="仿宋_GB2312"/>
                <w:color w:val="000000"/>
                <w:sz w:val="20"/>
                <w:szCs w:val="20"/>
                <w:highlight w:val="none"/>
              </w:rPr>
              <w:t>千方百计稳</w:t>
            </w:r>
            <w:r>
              <w:rPr>
                <w:rFonts w:hint="eastAsia" w:ascii="仿宋_GB2312" w:hAnsi="仿宋_GB2312" w:eastAsia="仿宋_GB2312" w:cs="仿宋_GB2312"/>
                <w:color w:val="000000"/>
                <w:sz w:val="20"/>
                <w:szCs w:val="20"/>
                <w:highlight w:val="none"/>
                <w:lang w:eastAsia="zh-CN"/>
              </w:rPr>
              <w:t>住</w:t>
            </w:r>
            <w:r>
              <w:rPr>
                <w:rFonts w:hint="eastAsia" w:ascii="仿宋_GB2312" w:hAnsi="仿宋_GB2312" w:eastAsia="仿宋_GB2312" w:cs="仿宋_GB2312"/>
                <w:color w:val="000000"/>
                <w:sz w:val="20"/>
                <w:szCs w:val="20"/>
                <w:highlight w:val="none"/>
              </w:rPr>
              <w:t>收入盘子</w:t>
            </w:r>
            <w:r>
              <w:rPr>
                <w:rFonts w:hint="eastAsia" w:ascii="仿宋_GB2312" w:hAnsi="仿宋_GB2312" w:eastAsia="仿宋_GB2312" w:cs="仿宋_GB2312"/>
                <w:color w:val="000000"/>
                <w:sz w:val="20"/>
                <w:szCs w:val="20"/>
                <w:highlight w:val="none"/>
                <w:lang w:eastAsia="zh-CN"/>
              </w:rPr>
              <w:t>；多措并举争资争项；</w:t>
            </w:r>
            <w:r>
              <w:rPr>
                <w:rFonts w:hint="eastAsia" w:ascii="仿宋_GB2312" w:hAnsi="仿宋_GB2312" w:eastAsia="仿宋_GB2312" w:cs="仿宋_GB2312"/>
                <w:color w:val="000000"/>
                <w:sz w:val="20"/>
                <w:szCs w:val="20"/>
                <w:highlight w:val="none"/>
              </w:rPr>
              <w:t>有力推进“三资”盘活</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lang w:eastAsia="zh-CN"/>
              </w:rPr>
              <w:t>支出结构持续优化：</w:t>
            </w:r>
            <w:r>
              <w:rPr>
                <w:rFonts w:hint="eastAsia" w:ascii="仿宋_GB2312" w:hAnsi="仿宋_GB2312" w:eastAsia="仿宋_GB2312" w:cs="仿宋_GB2312"/>
                <w:color w:val="000000"/>
                <w:sz w:val="20"/>
                <w:szCs w:val="20"/>
                <w:highlight w:val="none"/>
              </w:rPr>
              <w:t>坚持统筹兼顾，切实兜牢“三保”支出</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坚决落实过紧日子要求</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坚持惠农惠民。3. 财政管理提质</w:t>
            </w:r>
            <w:r>
              <w:rPr>
                <w:rFonts w:hint="eastAsia" w:ascii="仿宋_GB2312" w:hAnsi="仿宋_GB2312" w:eastAsia="仿宋_GB2312" w:cs="仿宋_GB2312"/>
                <w:color w:val="000000"/>
                <w:sz w:val="20"/>
                <w:szCs w:val="20"/>
                <w:highlight w:val="none"/>
                <w:lang w:eastAsia="zh-CN"/>
              </w:rPr>
              <w:t>增</w:t>
            </w:r>
            <w:r>
              <w:rPr>
                <w:rFonts w:hint="eastAsia" w:ascii="仿宋_GB2312" w:hAnsi="仿宋_GB2312" w:eastAsia="仿宋_GB2312" w:cs="仿宋_GB2312"/>
                <w:color w:val="000000"/>
                <w:sz w:val="20"/>
                <w:szCs w:val="20"/>
                <w:highlight w:val="none"/>
              </w:rPr>
              <w:t>效</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投资评审持续推进；政府采购坚实有效；</w:t>
            </w:r>
            <w:r>
              <w:rPr>
                <w:rFonts w:hint="eastAsia" w:ascii="仿宋_GB2312" w:hAnsi="仿宋_GB2312" w:eastAsia="仿宋_GB2312" w:cs="仿宋_GB2312"/>
                <w:color w:val="000000"/>
                <w:sz w:val="20"/>
                <w:szCs w:val="20"/>
                <w:highlight w:val="none"/>
              </w:rPr>
              <w:t>绩效管理全面实施。</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lang w:eastAsia="zh-CN"/>
              </w:rPr>
              <w:t>风险防控抗压前行：</w:t>
            </w:r>
            <w:r>
              <w:rPr>
                <w:rFonts w:hint="eastAsia" w:ascii="仿宋_GB2312" w:hAnsi="仿宋_GB2312" w:eastAsia="仿宋_GB2312" w:cs="仿宋_GB2312"/>
                <w:color w:val="000000"/>
                <w:sz w:val="20"/>
                <w:szCs w:val="20"/>
                <w:highlight w:val="none"/>
                <w:lang w:val="en-US" w:eastAsia="zh-CN"/>
              </w:rPr>
              <w:t>强化库款调度；</w:t>
            </w:r>
            <w:r>
              <w:rPr>
                <w:rFonts w:hint="eastAsia" w:ascii="仿宋_GB2312" w:hAnsi="仿宋_GB2312" w:eastAsia="仿宋_GB2312" w:cs="仿宋_GB2312"/>
                <w:color w:val="000000"/>
                <w:sz w:val="20"/>
                <w:szCs w:val="20"/>
                <w:highlight w:val="none"/>
                <w:lang w:eastAsia="zh-CN"/>
              </w:rPr>
              <w:t>债务率进一步下降；</w:t>
            </w:r>
            <w:r>
              <w:rPr>
                <w:rFonts w:hint="eastAsia" w:ascii="仿宋_GB2312" w:hAnsi="仿宋_GB2312" w:eastAsia="仿宋_GB2312" w:cs="仿宋_GB2312"/>
                <w:color w:val="000000"/>
                <w:sz w:val="20"/>
                <w:szCs w:val="20"/>
                <w:highlight w:val="none"/>
                <w:lang w:val="en-US" w:eastAsia="zh-CN"/>
              </w:rPr>
              <w:t>积极偿还债务。</w:t>
            </w:r>
            <w:r>
              <w:rPr>
                <w:rFonts w:hint="eastAsia" w:ascii="仿宋_GB2312" w:hAnsi="仿宋_GB2312" w:eastAsia="仿宋_GB2312" w:cs="仿宋_GB2312"/>
                <w:color w:val="000000"/>
                <w:sz w:val="20"/>
                <w:szCs w:val="20"/>
                <w:highlight w:val="none"/>
              </w:rPr>
              <w:t>5.财会监督</w:t>
            </w:r>
            <w:r>
              <w:rPr>
                <w:rFonts w:hint="eastAsia" w:ascii="仿宋_GB2312" w:hAnsi="仿宋_GB2312" w:eastAsia="仿宋_GB2312" w:cs="仿宋_GB2312"/>
                <w:color w:val="000000"/>
                <w:sz w:val="20"/>
                <w:szCs w:val="20"/>
                <w:highlight w:val="none"/>
                <w:lang w:eastAsia="zh-CN"/>
              </w:rPr>
              <w:t>得到</w:t>
            </w:r>
            <w:r>
              <w:rPr>
                <w:rFonts w:hint="eastAsia" w:ascii="仿宋_GB2312" w:hAnsi="仿宋_GB2312" w:eastAsia="仿宋_GB2312" w:cs="仿宋_GB2312"/>
                <w:color w:val="000000"/>
                <w:sz w:val="20"/>
                <w:szCs w:val="20"/>
                <w:highlight w:val="none"/>
              </w:rPr>
              <w:t>加强</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eastAsia="zh-Hans"/>
              </w:rPr>
              <w:t>加强</w:t>
            </w:r>
            <w:r>
              <w:rPr>
                <w:rFonts w:hint="eastAsia" w:ascii="仿宋_GB2312" w:hAnsi="仿宋_GB2312" w:eastAsia="仿宋_GB2312" w:cs="仿宋_GB2312"/>
                <w:color w:val="000000"/>
                <w:sz w:val="20"/>
                <w:szCs w:val="20"/>
                <w:highlight w:val="none"/>
                <w:lang w:eastAsia="zh-CN"/>
              </w:rPr>
              <w:t>财会监督；加强</w:t>
            </w:r>
            <w:r>
              <w:rPr>
                <w:rFonts w:hint="eastAsia" w:ascii="仿宋_GB2312" w:hAnsi="仿宋_GB2312" w:eastAsia="仿宋_GB2312" w:cs="仿宋_GB2312"/>
                <w:color w:val="000000"/>
                <w:sz w:val="20"/>
                <w:szCs w:val="20"/>
                <w:highlight w:val="none"/>
              </w:rPr>
              <w:t>镇村财务监管</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建立问题线索移送机制和财会监督报告制度。</w:t>
            </w:r>
            <w:r>
              <w:rPr>
                <w:rFonts w:hint="eastAsia" w:ascii="仿宋_GB2312" w:hAnsi="仿宋_GB2312" w:eastAsia="仿宋_GB2312" w:cs="仿宋_GB2312"/>
                <w:color w:val="000000"/>
                <w:sz w:val="20"/>
                <w:szCs w:val="20"/>
                <w:highlight w:val="none"/>
                <w:lang w:val="en-US" w:eastAsia="zh-CN"/>
              </w:rPr>
              <w:t>6.队伍建设稳步推进：</w:t>
            </w:r>
            <w:r>
              <w:rPr>
                <w:rFonts w:hint="eastAsia" w:ascii="仿宋_GB2312" w:hAnsi="仿宋_GB2312" w:eastAsia="仿宋_GB2312" w:cs="仿宋_GB2312"/>
                <w:color w:val="000000"/>
                <w:sz w:val="20"/>
                <w:szCs w:val="20"/>
                <w:highlight w:val="none"/>
              </w:rPr>
              <w:t>抓责任落实</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抓</w:t>
            </w:r>
            <w:r>
              <w:rPr>
                <w:rFonts w:hint="eastAsia" w:ascii="仿宋_GB2312" w:hAnsi="仿宋_GB2312" w:eastAsia="仿宋_GB2312" w:cs="仿宋_GB2312"/>
                <w:color w:val="000000"/>
                <w:sz w:val="20"/>
                <w:szCs w:val="20"/>
                <w:highlight w:val="none"/>
              </w:rPr>
              <w:t>意识形态</w:t>
            </w:r>
            <w:r>
              <w:rPr>
                <w:rFonts w:hint="eastAsia" w:ascii="仿宋_GB2312" w:hAnsi="仿宋_GB2312" w:eastAsia="仿宋_GB2312" w:cs="仿宋_GB2312"/>
                <w:color w:val="000000"/>
                <w:sz w:val="20"/>
                <w:szCs w:val="20"/>
                <w:highlight w:val="none"/>
                <w:lang w:val="en-US" w:eastAsia="zh-CN"/>
              </w:rPr>
              <w:t>工作</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抓作风建设</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抓学习培训。</w:t>
            </w:r>
          </w:p>
        </w:tc>
      </w:tr>
      <w:tr w14:paraId="5AD11FC8">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14:paraId="6AFCB7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D53E3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E72EF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952F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nil"/>
              <w:bottom w:val="single" w:color="auto" w:sz="4" w:space="0"/>
              <w:right w:val="single" w:color="auto" w:sz="4" w:space="0"/>
            </w:tcBorders>
            <w:noWrap w:val="0"/>
            <w:vAlign w:val="center"/>
          </w:tcPr>
          <w:p w14:paraId="5802D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nil"/>
              <w:bottom w:val="single" w:color="auto" w:sz="4" w:space="0"/>
              <w:right w:val="single" w:color="auto" w:sz="4" w:space="0"/>
            </w:tcBorders>
            <w:noWrap w:val="0"/>
            <w:vAlign w:val="center"/>
          </w:tcPr>
          <w:p w14:paraId="1B0A8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nil"/>
              <w:bottom w:val="single" w:color="auto" w:sz="4" w:space="0"/>
              <w:right w:val="single" w:color="auto" w:sz="4" w:space="0"/>
            </w:tcBorders>
            <w:noWrap w:val="0"/>
            <w:vAlign w:val="center"/>
          </w:tcPr>
          <w:p w14:paraId="3007A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nil"/>
              <w:bottom w:val="single" w:color="auto" w:sz="4" w:space="0"/>
              <w:right w:val="single" w:color="auto" w:sz="4" w:space="0"/>
            </w:tcBorders>
            <w:noWrap w:val="0"/>
            <w:vAlign w:val="center"/>
          </w:tcPr>
          <w:p w14:paraId="16686E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0AD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2571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4EC0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6A1FF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5D2AA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D4190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4A8DB4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8435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EF476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产出</w:t>
            </w:r>
            <w:r>
              <w:rPr>
                <w:rFonts w:hint="eastAsia" w:ascii="仿宋_GB2312" w:hAnsi="仿宋_GB2312" w:eastAsia="仿宋_GB2312" w:cs="仿宋_GB2312"/>
                <w:color w:val="000000"/>
                <w:sz w:val="20"/>
                <w:szCs w:val="20"/>
                <w:highlight w:val="none"/>
              </w:rPr>
              <w:t>指标</w:t>
            </w:r>
          </w:p>
          <w:p w14:paraId="4BE96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B1D6B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tc>
        <w:tc>
          <w:tcPr>
            <w:tcW w:w="1080" w:type="dxa"/>
            <w:vMerge w:val="restart"/>
            <w:tcBorders>
              <w:top w:val="single" w:color="auto" w:sz="4" w:space="0"/>
              <w:left w:val="single" w:color="auto" w:sz="4" w:space="0"/>
              <w:right w:val="single" w:color="auto" w:sz="4" w:space="0"/>
            </w:tcBorders>
            <w:noWrap w:val="0"/>
            <w:vAlign w:val="center"/>
          </w:tcPr>
          <w:p w14:paraId="364A364F">
            <w:pPr>
              <w:keepNext w:val="0"/>
              <w:keepLines w:val="0"/>
              <w:pageBreakBefore w:val="0"/>
              <w:tabs>
                <w:tab w:val="left" w:pos="388"/>
              </w:tabs>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数</w:t>
            </w:r>
            <w:r>
              <w:rPr>
                <w:rFonts w:hint="eastAsia" w:ascii="仿宋_GB2312" w:hAnsi="仿宋_GB2312" w:eastAsia="仿宋_GB2312" w:cs="仿宋_GB2312"/>
                <w:color w:val="000000"/>
                <w:sz w:val="20"/>
                <w:szCs w:val="20"/>
                <w:highlight w:val="none"/>
              </w:rPr>
              <w:t>量指标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EE5F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预算一体化</w:t>
            </w:r>
            <w:r>
              <w:rPr>
                <w:rFonts w:ascii="宋体" w:hAnsi="宋体" w:eastAsia="宋体" w:cs="宋体"/>
                <w:i w:val="0"/>
                <w:iCs w:val="0"/>
                <w:color w:val="000000"/>
                <w:kern w:val="0"/>
                <w:sz w:val="13"/>
                <w:szCs w:val="13"/>
                <w:u w:val="none"/>
                <w:lang w:val="en-US" w:eastAsia="zh-CN" w:bidi="ar"/>
              </w:rPr>
              <w:t>全覆盖</w:t>
            </w:r>
          </w:p>
        </w:tc>
        <w:tc>
          <w:tcPr>
            <w:tcW w:w="1134" w:type="dxa"/>
            <w:tcBorders>
              <w:top w:val="nil"/>
              <w:left w:val="nil"/>
              <w:bottom w:val="single" w:color="auto" w:sz="4" w:space="0"/>
              <w:right w:val="single" w:color="auto" w:sz="4" w:space="0"/>
            </w:tcBorders>
            <w:noWrap w:val="0"/>
            <w:vAlign w:val="center"/>
          </w:tcPr>
          <w:p w14:paraId="0BA2DC10">
            <w:pPr>
              <w:keepNext w:val="0"/>
              <w:keepLines w:val="0"/>
              <w:widowControl/>
              <w:suppressLineNumbers w:val="0"/>
              <w:jc w:val="left"/>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123</w:t>
            </w:r>
            <w:r>
              <w:rPr>
                <w:rFonts w:hint="eastAsia" w:ascii="宋体" w:hAnsi="宋体" w:cs="宋体"/>
                <w:i w:val="0"/>
                <w:iCs w:val="0"/>
                <w:color w:val="000000"/>
                <w:kern w:val="0"/>
                <w:sz w:val="13"/>
                <w:szCs w:val="13"/>
                <w:u w:val="none"/>
                <w:lang w:val="en-US" w:eastAsia="zh-CN" w:bidi="ar"/>
              </w:rPr>
              <w:t>家</w:t>
            </w:r>
          </w:p>
        </w:tc>
        <w:tc>
          <w:tcPr>
            <w:tcW w:w="1134" w:type="dxa"/>
            <w:tcBorders>
              <w:top w:val="nil"/>
              <w:left w:val="nil"/>
              <w:bottom w:val="single" w:color="auto" w:sz="4" w:space="0"/>
              <w:right w:val="single" w:color="auto" w:sz="4" w:space="0"/>
            </w:tcBorders>
            <w:noWrap w:val="0"/>
            <w:vAlign w:val="center"/>
          </w:tcPr>
          <w:p w14:paraId="3F094B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123</w:t>
            </w:r>
            <w:r>
              <w:rPr>
                <w:rFonts w:hint="eastAsia" w:ascii="宋体" w:hAnsi="宋体" w:cs="宋体"/>
                <w:i w:val="0"/>
                <w:iCs w:val="0"/>
                <w:color w:val="auto"/>
                <w:kern w:val="0"/>
                <w:sz w:val="13"/>
                <w:szCs w:val="13"/>
                <w:u w:val="none"/>
                <w:lang w:val="en-US" w:eastAsia="zh-CN" w:bidi="ar"/>
              </w:rPr>
              <w:t>家</w:t>
            </w:r>
          </w:p>
        </w:tc>
        <w:tc>
          <w:tcPr>
            <w:tcW w:w="828" w:type="dxa"/>
            <w:tcBorders>
              <w:top w:val="nil"/>
              <w:left w:val="nil"/>
              <w:bottom w:val="single" w:color="auto" w:sz="4" w:space="0"/>
              <w:right w:val="single" w:color="auto" w:sz="4" w:space="0"/>
            </w:tcBorders>
            <w:noWrap w:val="0"/>
            <w:vAlign w:val="center"/>
          </w:tcPr>
          <w:p w14:paraId="73DFA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2C29A6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7108C2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68A4EC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BCB6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AF046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FCDB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BFA605">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财政投资评审全覆盖</w:t>
            </w:r>
          </w:p>
        </w:tc>
        <w:tc>
          <w:tcPr>
            <w:tcW w:w="1134" w:type="dxa"/>
            <w:tcBorders>
              <w:top w:val="nil"/>
              <w:left w:val="nil"/>
              <w:bottom w:val="single" w:color="auto" w:sz="4" w:space="0"/>
              <w:right w:val="single" w:color="auto" w:sz="4" w:space="0"/>
            </w:tcBorders>
            <w:noWrap w:val="0"/>
            <w:vAlign w:val="center"/>
          </w:tcPr>
          <w:p w14:paraId="0ADA3A1E">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240个/7.2亿元</w:t>
            </w:r>
          </w:p>
        </w:tc>
        <w:tc>
          <w:tcPr>
            <w:tcW w:w="1134" w:type="dxa"/>
            <w:tcBorders>
              <w:top w:val="nil"/>
              <w:left w:val="nil"/>
              <w:bottom w:val="single" w:color="auto" w:sz="4" w:space="0"/>
              <w:right w:val="single" w:color="auto" w:sz="4" w:space="0"/>
            </w:tcBorders>
            <w:noWrap w:val="0"/>
            <w:vAlign w:val="center"/>
          </w:tcPr>
          <w:p w14:paraId="5933DE95">
            <w:pPr>
              <w:keepNext w:val="0"/>
              <w:keepLines w:val="0"/>
              <w:widowControl/>
              <w:suppressLineNumbers w:val="0"/>
              <w:jc w:val="left"/>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326个/15.64亿元</w:t>
            </w:r>
          </w:p>
        </w:tc>
        <w:tc>
          <w:tcPr>
            <w:tcW w:w="828" w:type="dxa"/>
            <w:tcBorders>
              <w:top w:val="nil"/>
              <w:left w:val="nil"/>
              <w:bottom w:val="single" w:color="auto" w:sz="4" w:space="0"/>
              <w:right w:val="single" w:color="auto" w:sz="4" w:space="0"/>
            </w:tcBorders>
            <w:noWrap w:val="0"/>
            <w:vAlign w:val="center"/>
          </w:tcPr>
          <w:p w14:paraId="3BA92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78148C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0DF0B8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127EF6A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1922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C1BC7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2B4A8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1B39485">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政府采购</w:t>
            </w:r>
            <w:r>
              <w:rPr>
                <w:rFonts w:hint="eastAsia" w:ascii="宋体" w:hAnsi="宋体" w:cs="宋体"/>
                <w:i w:val="0"/>
                <w:iCs w:val="0"/>
                <w:color w:val="000000"/>
                <w:kern w:val="0"/>
                <w:sz w:val="13"/>
                <w:szCs w:val="13"/>
                <w:u w:val="none"/>
                <w:lang w:val="en-US" w:eastAsia="zh-CN" w:bidi="ar"/>
              </w:rPr>
              <w:t>执行率</w:t>
            </w:r>
          </w:p>
        </w:tc>
        <w:tc>
          <w:tcPr>
            <w:tcW w:w="1134" w:type="dxa"/>
            <w:tcBorders>
              <w:top w:val="nil"/>
              <w:left w:val="nil"/>
              <w:bottom w:val="single" w:color="auto" w:sz="4" w:space="0"/>
              <w:right w:val="single" w:color="auto" w:sz="4" w:space="0"/>
            </w:tcBorders>
            <w:noWrap w:val="0"/>
            <w:vAlign w:val="center"/>
          </w:tcPr>
          <w:p w14:paraId="340485DE">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60个/1.2亿元</w:t>
            </w:r>
          </w:p>
        </w:tc>
        <w:tc>
          <w:tcPr>
            <w:tcW w:w="1134" w:type="dxa"/>
            <w:tcBorders>
              <w:top w:val="nil"/>
              <w:left w:val="nil"/>
              <w:bottom w:val="single" w:color="auto" w:sz="4" w:space="0"/>
              <w:right w:val="single" w:color="auto" w:sz="4" w:space="0"/>
            </w:tcBorders>
            <w:noWrap w:val="0"/>
            <w:vAlign w:val="center"/>
          </w:tcPr>
          <w:p w14:paraId="32642712">
            <w:pPr>
              <w:keepNext w:val="0"/>
              <w:keepLines w:val="0"/>
              <w:widowControl/>
              <w:suppressLineNumbers w:val="0"/>
              <w:jc w:val="left"/>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128个/1.69亿元</w:t>
            </w:r>
          </w:p>
        </w:tc>
        <w:tc>
          <w:tcPr>
            <w:tcW w:w="828" w:type="dxa"/>
            <w:tcBorders>
              <w:top w:val="nil"/>
              <w:left w:val="nil"/>
              <w:bottom w:val="single" w:color="auto" w:sz="4" w:space="0"/>
              <w:right w:val="single" w:color="auto" w:sz="4" w:space="0"/>
            </w:tcBorders>
            <w:noWrap w:val="0"/>
            <w:vAlign w:val="center"/>
          </w:tcPr>
          <w:p w14:paraId="442A7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47FC5D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69A6F4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61A389EB">
        <w:tblPrEx>
          <w:tblCellMar>
            <w:top w:w="0" w:type="dxa"/>
            <w:left w:w="108" w:type="dxa"/>
            <w:bottom w:w="0" w:type="dxa"/>
            <w:right w:w="108" w:type="dxa"/>
          </w:tblCellMar>
        </w:tblPrEx>
        <w:trPr>
          <w:trHeight w:val="344" w:hRule="atLeast"/>
          <w:jc w:val="center"/>
        </w:trPr>
        <w:tc>
          <w:tcPr>
            <w:tcW w:w="1080" w:type="dxa"/>
            <w:vMerge w:val="continue"/>
            <w:tcBorders>
              <w:left w:val="single" w:color="auto" w:sz="4" w:space="0"/>
              <w:right w:val="single" w:color="auto" w:sz="4" w:space="0"/>
            </w:tcBorders>
            <w:noWrap w:val="0"/>
            <w:vAlign w:val="center"/>
          </w:tcPr>
          <w:p w14:paraId="74F821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709FC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059B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D100D5">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部门支出绩效全覆盖</w:t>
            </w:r>
          </w:p>
        </w:tc>
        <w:tc>
          <w:tcPr>
            <w:tcW w:w="1134" w:type="dxa"/>
            <w:tcBorders>
              <w:top w:val="nil"/>
              <w:left w:val="nil"/>
              <w:bottom w:val="single" w:color="auto" w:sz="4" w:space="0"/>
              <w:right w:val="single" w:color="auto" w:sz="4" w:space="0"/>
            </w:tcBorders>
            <w:noWrap w:val="0"/>
            <w:vAlign w:val="center"/>
          </w:tcPr>
          <w:p w14:paraId="51E5C5E6">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123</w:t>
            </w:r>
            <w:r>
              <w:rPr>
                <w:rFonts w:hint="eastAsia" w:ascii="宋体" w:hAnsi="宋体" w:cs="宋体"/>
                <w:i w:val="0"/>
                <w:iCs w:val="0"/>
                <w:color w:val="000000"/>
                <w:kern w:val="0"/>
                <w:sz w:val="13"/>
                <w:szCs w:val="13"/>
                <w:u w:val="none"/>
                <w:lang w:val="en-US" w:eastAsia="zh-CN" w:bidi="ar"/>
              </w:rPr>
              <w:t>家</w:t>
            </w:r>
          </w:p>
        </w:tc>
        <w:tc>
          <w:tcPr>
            <w:tcW w:w="1134" w:type="dxa"/>
            <w:tcBorders>
              <w:top w:val="nil"/>
              <w:left w:val="nil"/>
              <w:bottom w:val="single" w:color="auto" w:sz="4" w:space="0"/>
              <w:right w:val="single" w:color="auto" w:sz="4" w:space="0"/>
            </w:tcBorders>
            <w:noWrap w:val="0"/>
            <w:vAlign w:val="center"/>
          </w:tcPr>
          <w:p w14:paraId="77643E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ascii="宋体" w:hAnsi="宋体" w:eastAsia="宋体" w:cs="宋体"/>
                <w:i w:val="0"/>
                <w:iCs w:val="0"/>
                <w:color w:val="auto"/>
                <w:kern w:val="0"/>
                <w:sz w:val="13"/>
                <w:szCs w:val="13"/>
                <w:u w:val="none"/>
                <w:lang w:val="en-US" w:eastAsia="zh-CN" w:bidi="ar"/>
              </w:rPr>
              <w:t>123</w:t>
            </w:r>
            <w:r>
              <w:rPr>
                <w:rFonts w:hint="eastAsia" w:ascii="宋体" w:hAnsi="宋体" w:cs="宋体"/>
                <w:i w:val="0"/>
                <w:iCs w:val="0"/>
                <w:color w:val="auto"/>
                <w:kern w:val="0"/>
                <w:sz w:val="13"/>
                <w:szCs w:val="13"/>
                <w:u w:val="none"/>
                <w:lang w:val="en-US" w:eastAsia="zh-CN" w:bidi="ar"/>
              </w:rPr>
              <w:t>家</w:t>
            </w:r>
          </w:p>
        </w:tc>
        <w:tc>
          <w:tcPr>
            <w:tcW w:w="828" w:type="dxa"/>
            <w:tcBorders>
              <w:top w:val="nil"/>
              <w:left w:val="nil"/>
              <w:bottom w:val="single" w:color="auto" w:sz="4" w:space="0"/>
              <w:right w:val="single" w:color="auto" w:sz="4" w:space="0"/>
            </w:tcBorders>
            <w:noWrap w:val="0"/>
            <w:vAlign w:val="center"/>
          </w:tcPr>
          <w:p w14:paraId="701D12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69B754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403E06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67FD87E6">
        <w:tblPrEx>
          <w:tblCellMar>
            <w:top w:w="0" w:type="dxa"/>
            <w:left w:w="108" w:type="dxa"/>
            <w:bottom w:w="0" w:type="dxa"/>
            <w:right w:w="108" w:type="dxa"/>
          </w:tblCellMar>
        </w:tblPrEx>
        <w:trPr>
          <w:trHeight w:val="312" w:hRule="atLeast"/>
          <w:jc w:val="center"/>
        </w:trPr>
        <w:tc>
          <w:tcPr>
            <w:tcW w:w="1080" w:type="dxa"/>
            <w:vMerge w:val="continue"/>
            <w:tcBorders>
              <w:left w:val="single" w:color="auto" w:sz="4" w:space="0"/>
              <w:right w:val="single" w:color="auto" w:sz="4" w:space="0"/>
            </w:tcBorders>
            <w:noWrap w:val="0"/>
            <w:vAlign w:val="center"/>
          </w:tcPr>
          <w:p w14:paraId="05711B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D0C63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0D67E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B3382">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ascii="宋体" w:hAnsi="宋体" w:eastAsia="宋体" w:cs="宋体"/>
                <w:i w:val="0"/>
                <w:iCs w:val="0"/>
                <w:color w:val="000000"/>
                <w:kern w:val="0"/>
                <w:sz w:val="13"/>
                <w:szCs w:val="13"/>
                <w:u w:val="none"/>
                <w:lang w:val="en-US" w:eastAsia="zh-CN" w:bidi="ar"/>
              </w:rPr>
              <w:t>财政监督全覆盖</w:t>
            </w:r>
          </w:p>
        </w:tc>
        <w:tc>
          <w:tcPr>
            <w:tcW w:w="1134" w:type="dxa"/>
            <w:tcBorders>
              <w:top w:val="nil"/>
              <w:left w:val="nil"/>
              <w:bottom w:val="single" w:color="auto" w:sz="4" w:space="0"/>
              <w:right w:val="single" w:color="auto" w:sz="4" w:space="0"/>
            </w:tcBorders>
            <w:shd w:val="clear" w:color="auto" w:fill="auto"/>
            <w:noWrap w:val="0"/>
            <w:vAlign w:val="center"/>
          </w:tcPr>
          <w:p w14:paraId="10AD28F5">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ascii="宋体" w:hAnsi="宋体" w:eastAsia="宋体" w:cs="宋体"/>
                <w:i w:val="0"/>
                <w:iCs w:val="0"/>
                <w:color w:val="000000"/>
                <w:kern w:val="0"/>
                <w:sz w:val="13"/>
                <w:szCs w:val="13"/>
                <w:u w:val="none"/>
                <w:lang w:val="en-US" w:eastAsia="zh-CN" w:bidi="ar"/>
              </w:rPr>
              <w:t>3</w:t>
            </w:r>
            <w:r>
              <w:rPr>
                <w:rFonts w:hint="eastAsia" w:ascii="宋体" w:hAnsi="宋体" w:cs="宋体"/>
                <w:i w:val="0"/>
                <w:iCs w:val="0"/>
                <w:color w:val="000000"/>
                <w:kern w:val="0"/>
                <w:sz w:val="13"/>
                <w:szCs w:val="13"/>
                <w:u w:val="none"/>
                <w:lang w:val="en-US" w:eastAsia="zh-CN" w:bidi="ar"/>
              </w:rPr>
              <w:t>家</w:t>
            </w:r>
          </w:p>
        </w:tc>
        <w:tc>
          <w:tcPr>
            <w:tcW w:w="1134" w:type="dxa"/>
            <w:tcBorders>
              <w:top w:val="nil"/>
              <w:left w:val="nil"/>
              <w:bottom w:val="single" w:color="auto" w:sz="4" w:space="0"/>
              <w:right w:val="single" w:color="auto" w:sz="4" w:space="0"/>
            </w:tcBorders>
            <w:shd w:val="clear" w:color="auto" w:fill="auto"/>
            <w:noWrap w:val="0"/>
            <w:vAlign w:val="center"/>
          </w:tcPr>
          <w:p w14:paraId="3AF44890">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ascii="宋体" w:hAnsi="宋体" w:eastAsia="宋体" w:cs="宋体"/>
                <w:i w:val="0"/>
                <w:iCs w:val="0"/>
                <w:color w:val="000000"/>
                <w:kern w:val="0"/>
                <w:sz w:val="13"/>
                <w:szCs w:val="13"/>
                <w:u w:val="none"/>
                <w:lang w:val="en-US" w:eastAsia="zh-CN" w:bidi="ar"/>
              </w:rPr>
              <w:t>3</w:t>
            </w:r>
            <w:r>
              <w:rPr>
                <w:rFonts w:hint="eastAsia" w:ascii="宋体" w:hAnsi="宋体" w:cs="宋体"/>
                <w:i w:val="0"/>
                <w:iCs w:val="0"/>
                <w:color w:val="000000"/>
                <w:kern w:val="0"/>
                <w:sz w:val="13"/>
                <w:szCs w:val="13"/>
                <w:u w:val="none"/>
                <w:lang w:val="en-US" w:eastAsia="zh-CN" w:bidi="ar"/>
              </w:rPr>
              <w:t>家</w:t>
            </w:r>
          </w:p>
        </w:tc>
        <w:tc>
          <w:tcPr>
            <w:tcW w:w="828" w:type="dxa"/>
            <w:tcBorders>
              <w:top w:val="nil"/>
              <w:left w:val="nil"/>
              <w:bottom w:val="single" w:color="auto" w:sz="4" w:space="0"/>
              <w:right w:val="single" w:color="auto" w:sz="4" w:space="0"/>
            </w:tcBorders>
            <w:shd w:val="clear" w:color="auto" w:fill="auto"/>
            <w:noWrap w:val="0"/>
            <w:vAlign w:val="center"/>
          </w:tcPr>
          <w:p w14:paraId="0BED5B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kern w:val="0"/>
                <w:sz w:val="13"/>
                <w:szCs w:val="13"/>
                <w:highlight w:val="none"/>
                <w:lang w:val="en-US" w:eastAsia="zh-CN" w:bidi="ar-SA"/>
              </w:rPr>
              <w:t>3</w:t>
            </w:r>
          </w:p>
        </w:tc>
        <w:tc>
          <w:tcPr>
            <w:tcW w:w="873" w:type="dxa"/>
            <w:tcBorders>
              <w:top w:val="nil"/>
              <w:left w:val="nil"/>
              <w:bottom w:val="single" w:color="auto" w:sz="4" w:space="0"/>
              <w:right w:val="single" w:color="auto" w:sz="4" w:space="0"/>
            </w:tcBorders>
            <w:shd w:val="clear" w:color="auto" w:fill="auto"/>
            <w:noWrap w:val="0"/>
            <w:vAlign w:val="center"/>
          </w:tcPr>
          <w:p w14:paraId="514D4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kern w:val="0"/>
                <w:sz w:val="13"/>
                <w:szCs w:val="13"/>
                <w:highlight w:val="none"/>
                <w:lang w:val="en-US" w:eastAsia="zh-CN" w:bidi="ar-SA"/>
              </w:rPr>
              <w:t>3</w:t>
            </w:r>
          </w:p>
        </w:tc>
        <w:tc>
          <w:tcPr>
            <w:tcW w:w="1418" w:type="dxa"/>
            <w:tcBorders>
              <w:top w:val="nil"/>
              <w:left w:val="nil"/>
              <w:bottom w:val="single" w:color="auto" w:sz="4" w:space="0"/>
              <w:right w:val="single" w:color="auto" w:sz="4" w:space="0"/>
            </w:tcBorders>
            <w:noWrap w:val="0"/>
            <w:vAlign w:val="center"/>
          </w:tcPr>
          <w:p w14:paraId="5D35BA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0DE0C988">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7E79EE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BE35F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6FD8C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42C35">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kern w:val="0"/>
                <w:sz w:val="13"/>
                <w:szCs w:val="13"/>
                <w:highlight w:val="none"/>
                <w:lang w:val="en-US" w:eastAsia="zh-CN" w:bidi="ar-SA"/>
              </w:rPr>
              <w:t>收入质量</w:t>
            </w:r>
          </w:p>
        </w:tc>
        <w:tc>
          <w:tcPr>
            <w:tcW w:w="1134" w:type="dxa"/>
            <w:tcBorders>
              <w:top w:val="nil"/>
              <w:left w:val="nil"/>
              <w:bottom w:val="single" w:color="auto" w:sz="4" w:space="0"/>
              <w:right w:val="single" w:color="auto" w:sz="4" w:space="0"/>
            </w:tcBorders>
            <w:shd w:val="clear" w:color="auto" w:fill="auto"/>
            <w:noWrap w:val="0"/>
            <w:vAlign w:val="center"/>
          </w:tcPr>
          <w:p w14:paraId="6C86CA42">
            <w:pPr>
              <w:keepNext w:val="0"/>
              <w:keepLines w:val="0"/>
              <w:widowControl/>
              <w:suppressLineNumbers w:val="0"/>
              <w:jc w:val="left"/>
              <w:textAlignment w:val="center"/>
              <w:rPr>
                <w:rFonts w:hint="default" w:ascii="仿宋_GB2312" w:hAnsi="仿宋_GB2312" w:eastAsia="仿宋_GB2312" w:cs="仿宋_GB2312"/>
                <w:color w:val="000000"/>
                <w:kern w:val="0"/>
                <w:sz w:val="13"/>
                <w:szCs w:val="13"/>
                <w:highlight w:val="none"/>
                <w:lang w:val="en-US" w:eastAsia="zh-CN" w:bidi="ar-SA"/>
              </w:rPr>
            </w:pPr>
            <w:r>
              <w:rPr>
                <w:rFonts w:hint="eastAsia" w:ascii="宋体" w:hAnsi="宋体" w:cs="宋体"/>
                <w:i w:val="0"/>
                <w:iCs w:val="0"/>
                <w:color w:val="000000"/>
                <w:kern w:val="0"/>
                <w:sz w:val="13"/>
                <w:szCs w:val="13"/>
                <w:u w:val="none"/>
                <w:lang w:val="en-US" w:eastAsia="zh-CN" w:bidi="ar"/>
              </w:rPr>
              <w:t>30%</w:t>
            </w:r>
          </w:p>
        </w:tc>
        <w:tc>
          <w:tcPr>
            <w:tcW w:w="1134" w:type="dxa"/>
            <w:tcBorders>
              <w:top w:val="nil"/>
              <w:left w:val="nil"/>
              <w:bottom w:val="single" w:color="auto" w:sz="4" w:space="0"/>
              <w:right w:val="single" w:color="auto" w:sz="4" w:space="0"/>
            </w:tcBorders>
            <w:shd w:val="clear" w:color="auto" w:fill="auto"/>
            <w:noWrap w:val="0"/>
            <w:vAlign w:val="center"/>
          </w:tcPr>
          <w:p w14:paraId="24D1C7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13"/>
                <w:szCs w:val="13"/>
                <w:highlight w:val="none"/>
                <w:lang w:val="en-US" w:eastAsia="zh-CN" w:bidi="ar-SA"/>
              </w:rPr>
            </w:pPr>
            <w:r>
              <w:rPr>
                <w:rFonts w:hint="eastAsia" w:ascii="宋体" w:hAnsi="宋体" w:cs="宋体"/>
                <w:i w:val="0"/>
                <w:iCs w:val="0"/>
                <w:color w:val="000000"/>
                <w:kern w:val="0"/>
                <w:sz w:val="13"/>
                <w:szCs w:val="13"/>
                <w:u w:val="none"/>
                <w:lang w:val="en-US" w:eastAsia="zh-CN" w:bidi="ar"/>
              </w:rPr>
              <w:t>30%</w:t>
            </w:r>
          </w:p>
        </w:tc>
        <w:tc>
          <w:tcPr>
            <w:tcW w:w="828" w:type="dxa"/>
            <w:tcBorders>
              <w:top w:val="nil"/>
              <w:left w:val="nil"/>
              <w:bottom w:val="single" w:color="auto" w:sz="4" w:space="0"/>
              <w:right w:val="single" w:color="auto" w:sz="4" w:space="0"/>
            </w:tcBorders>
            <w:shd w:val="clear" w:color="auto" w:fill="auto"/>
            <w:noWrap w:val="0"/>
            <w:vAlign w:val="center"/>
          </w:tcPr>
          <w:p w14:paraId="7188B1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kern w:val="0"/>
                <w:sz w:val="13"/>
                <w:szCs w:val="13"/>
                <w:highlight w:val="none"/>
                <w:lang w:val="en-US" w:eastAsia="zh-CN" w:bidi="ar-SA"/>
              </w:rPr>
              <w:t>3</w:t>
            </w:r>
          </w:p>
        </w:tc>
        <w:tc>
          <w:tcPr>
            <w:tcW w:w="873" w:type="dxa"/>
            <w:tcBorders>
              <w:top w:val="nil"/>
              <w:left w:val="nil"/>
              <w:bottom w:val="single" w:color="auto" w:sz="4" w:space="0"/>
              <w:right w:val="single" w:color="auto" w:sz="4" w:space="0"/>
            </w:tcBorders>
            <w:shd w:val="clear" w:color="auto" w:fill="auto"/>
            <w:noWrap w:val="0"/>
            <w:vAlign w:val="center"/>
          </w:tcPr>
          <w:p w14:paraId="09CA48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kern w:val="0"/>
                <w:sz w:val="13"/>
                <w:szCs w:val="13"/>
                <w:highlight w:val="none"/>
                <w:lang w:val="en-US" w:eastAsia="zh-CN" w:bidi="ar-SA"/>
              </w:rPr>
              <w:t>3</w:t>
            </w:r>
          </w:p>
        </w:tc>
        <w:tc>
          <w:tcPr>
            <w:tcW w:w="1418" w:type="dxa"/>
            <w:tcBorders>
              <w:top w:val="nil"/>
              <w:left w:val="nil"/>
              <w:bottom w:val="single" w:color="auto" w:sz="4" w:space="0"/>
              <w:right w:val="single" w:color="auto" w:sz="4" w:space="0"/>
            </w:tcBorders>
            <w:noWrap w:val="0"/>
            <w:vAlign w:val="center"/>
          </w:tcPr>
          <w:p w14:paraId="748AF3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7A6DA25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291C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0554A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03EA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7F522CC">
            <w:pPr>
              <w:keepNext w:val="0"/>
              <w:keepLines w:val="0"/>
              <w:widowControl/>
              <w:suppressLineNumbers w:val="0"/>
              <w:jc w:val="left"/>
              <w:textAlignment w:val="center"/>
              <w:rPr>
                <w:rFonts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民生保障水平提升</w:t>
            </w:r>
          </w:p>
        </w:tc>
        <w:tc>
          <w:tcPr>
            <w:tcW w:w="1134" w:type="dxa"/>
            <w:tcBorders>
              <w:top w:val="nil"/>
              <w:left w:val="nil"/>
              <w:bottom w:val="single" w:color="auto" w:sz="4" w:space="0"/>
              <w:right w:val="single" w:color="auto" w:sz="4" w:space="0"/>
            </w:tcBorders>
            <w:shd w:val="clear" w:color="auto" w:fill="auto"/>
            <w:noWrap w:val="0"/>
            <w:vAlign w:val="center"/>
          </w:tcPr>
          <w:p w14:paraId="1DD2CE20">
            <w:pPr>
              <w:keepNext w:val="0"/>
              <w:keepLines w:val="0"/>
              <w:widowControl/>
              <w:suppressLineNumbers w:val="0"/>
              <w:jc w:val="left"/>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75%</w:t>
            </w:r>
          </w:p>
        </w:tc>
        <w:tc>
          <w:tcPr>
            <w:tcW w:w="1134" w:type="dxa"/>
            <w:tcBorders>
              <w:top w:val="nil"/>
              <w:left w:val="nil"/>
              <w:bottom w:val="single" w:color="auto" w:sz="4" w:space="0"/>
              <w:right w:val="single" w:color="auto" w:sz="4" w:space="0"/>
            </w:tcBorders>
            <w:shd w:val="clear" w:color="auto" w:fill="auto"/>
            <w:noWrap w:val="0"/>
            <w:vAlign w:val="center"/>
          </w:tcPr>
          <w:p w14:paraId="71C08CF5">
            <w:pPr>
              <w:keepNext w:val="0"/>
              <w:keepLines w:val="0"/>
              <w:widowControl/>
              <w:suppressLineNumbers w:val="0"/>
              <w:jc w:val="left"/>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80.94%</w:t>
            </w:r>
          </w:p>
        </w:tc>
        <w:tc>
          <w:tcPr>
            <w:tcW w:w="828" w:type="dxa"/>
            <w:tcBorders>
              <w:top w:val="nil"/>
              <w:left w:val="nil"/>
              <w:bottom w:val="single" w:color="auto" w:sz="4" w:space="0"/>
              <w:right w:val="single" w:color="auto" w:sz="4" w:space="0"/>
            </w:tcBorders>
            <w:shd w:val="clear" w:color="auto" w:fill="auto"/>
            <w:noWrap w:val="0"/>
            <w:vAlign w:val="center"/>
          </w:tcPr>
          <w:p w14:paraId="08FCE5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cs="宋体"/>
                <w:i w:val="0"/>
                <w:iCs w:val="0"/>
                <w:color w:val="000000"/>
                <w:kern w:val="0"/>
                <w:sz w:val="13"/>
                <w:szCs w:val="13"/>
                <w:u w:val="none"/>
                <w:lang w:val="en-US" w:eastAsia="zh-CN" w:bidi="ar"/>
              </w:rPr>
            </w:pPr>
            <w:r>
              <w:rPr>
                <w:rFonts w:hint="eastAsia" w:ascii="仿宋_GB2312" w:hAnsi="仿宋_GB2312" w:eastAsia="仿宋_GB2312" w:cs="仿宋_GB2312"/>
                <w:color w:val="000000"/>
                <w:sz w:val="13"/>
                <w:szCs w:val="13"/>
                <w:highlight w:val="none"/>
                <w:lang w:val="en-US" w:eastAsia="zh-CN"/>
              </w:rPr>
              <w:t>3</w:t>
            </w:r>
          </w:p>
        </w:tc>
        <w:tc>
          <w:tcPr>
            <w:tcW w:w="873" w:type="dxa"/>
            <w:tcBorders>
              <w:top w:val="nil"/>
              <w:left w:val="nil"/>
              <w:bottom w:val="single" w:color="auto" w:sz="4" w:space="0"/>
              <w:right w:val="single" w:color="auto" w:sz="4" w:space="0"/>
            </w:tcBorders>
            <w:shd w:val="clear" w:color="auto" w:fill="auto"/>
            <w:noWrap w:val="0"/>
            <w:vAlign w:val="center"/>
          </w:tcPr>
          <w:p w14:paraId="40158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1418" w:type="dxa"/>
            <w:tcBorders>
              <w:top w:val="nil"/>
              <w:left w:val="nil"/>
              <w:bottom w:val="single" w:color="auto" w:sz="4" w:space="0"/>
              <w:right w:val="single" w:color="auto" w:sz="4" w:space="0"/>
            </w:tcBorders>
            <w:shd w:val="clear" w:color="auto" w:fill="auto"/>
            <w:noWrap w:val="0"/>
            <w:vAlign w:val="center"/>
          </w:tcPr>
          <w:p w14:paraId="5FBDF6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p>
        </w:tc>
      </w:tr>
      <w:tr w14:paraId="103F2B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C07A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83CE9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12889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restart"/>
            <w:tcBorders>
              <w:top w:val="single" w:color="auto" w:sz="4" w:space="0"/>
              <w:left w:val="single" w:color="auto" w:sz="4" w:space="0"/>
              <w:right w:val="single" w:color="auto" w:sz="4" w:space="0"/>
            </w:tcBorders>
            <w:shd w:val="clear" w:color="auto" w:fill="auto"/>
            <w:noWrap w:val="0"/>
            <w:vAlign w:val="center"/>
          </w:tcPr>
          <w:p w14:paraId="35CDA78B">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ascii="宋体" w:hAnsi="宋体" w:eastAsia="宋体" w:cs="宋体"/>
                <w:i w:val="0"/>
                <w:iCs w:val="0"/>
                <w:color w:val="000000"/>
                <w:kern w:val="0"/>
                <w:sz w:val="13"/>
                <w:szCs w:val="13"/>
                <w:u w:val="none"/>
                <w:lang w:val="en-US" w:eastAsia="zh-CN" w:bidi="ar"/>
              </w:rPr>
              <w:t>是否符合一体化系统考核评估</w:t>
            </w:r>
          </w:p>
        </w:tc>
        <w:tc>
          <w:tcPr>
            <w:tcW w:w="1134" w:type="dxa"/>
            <w:tcBorders>
              <w:top w:val="nil"/>
              <w:left w:val="nil"/>
              <w:bottom w:val="single" w:color="auto" w:sz="4" w:space="0"/>
              <w:right w:val="single" w:color="auto" w:sz="4" w:space="0"/>
            </w:tcBorders>
            <w:shd w:val="clear" w:color="auto" w:fill="auto"/>
            <w:noWrap w:val="0"/>
            <w:vAlign w:val="center"/>
          </w:tcPr>
          <w:p w14:paraId="79BF8E29">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ascii="宋体" w:hAnsi="宋体" w:eastAsia="宋体" w:cs="宋体"/>
                <w:i w:val="0"/>
                <w:iCs w:val="0"/>
                <w:color w:val="000000"/>
                <w:kern w:val="0"/>
                <w:sz w:val="14"/>
                <w:szCs w:val="14"/>
                <w:u w:val="none"/>
                <w:lang w:val="en-US" w:eastAsia="zh-CN" w:bidi="ar"/>
              </w:rPr>
              <w:t>等级保护测评评分达到70分以上</w:t>
            </w:r>
          </w:p>
        </w:tc>
        <w:tc>
          <w:tcPr>
            <w:tcW w:w="1134" w:type="dxa"/>
            <w:tcBorders>
              <w:top w:val="nil"/>
              <w:left w:val="nil"/>
              <w:bottom w:val="single" w:color="auto" w:sz="4" w:space="0"/>
              <w:right w:val="single" w:color="auto" w:sz="4" w:space="0"/>
            </w:tcBorders>
            <w:shd w:val="clear" w:color="auto" w:fill="auto"/>
            <w:noWrap w:val="0"/>
            <w:vAlign w:val="center"/>
          </w:tcPr>
          <w:p w14:paraId="0768E1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宋体" w:hAnsi="宋体" w:cs="宋体"/>
                <w:i w:val="0"/>
                <w:iCs w:val="0"/>
                <w:color w:val="000000"/>
                <w:kern w:val="0"/>
                <w:sz w:val="13"/>
                <w:szCs w:val="13"/>
                <w:u w:val="none"/>
                <w:lang w:val="en-US" w:eastAsia="zh-CN" w:bidi="ar"/>
              </w:rPr>
              <w:t>80.54</w:t>
            </w:r>
            <w:r>
              <w:rPr>
                <w:rFonts w:ascii="宋体" w:hAnsi="宋体" w:eastAsia="宋体" w:cs="宋体"/>
                <w:i w:val="0"/>
                <w:iCs w:val="0"/>
                <w:color w:val="000000"/>
                <w:kern w:val="0"/>
                <w:sz w:val="13"/>
                <w:szCs w:val="13"/>
                <w:u w:val="none"/>
                <w:lang w:val="en-US" w:eastAsia="zh-CN" w:bidi="ar"/>
              </w:rPr>
              <w:t>分</w:t>
            </w:r>
          </w:p>
        </w:tc>
        <w:tc>
          <w:tcPr>
            <w:tcW w:w="828" w:type="dxa"/>
            <w:tcBorders>
              <w:top w:val="nil"/>
              <w:left w:val="nil"/>
              <w:bottom w:val="single" w:color="auto" w:sz="4" w:space="0"/>
              <w:right w:val="single" w:color="auto" w:sz="4" w:space="0"/>
            </w:tcBorders>
            <w:shd w:val="clear" w:color="auto" w:fill="auto"/>
            <w:noWrap w:val="0"/>
            <w:vAlign w:val="center"/>
          </w:tcPr>
          <w:p w14:paraId="21B9D6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477684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lang w:val="en-US" w:eastAsia="zh-CN"/>
              </w:rPr>
              <w:t>1</w:t>
            </w:r>
          </w:p>
        </w:tc>
        <w:tc>
          <w:tcPr>
            <w:tcW w:w="1418" w:type="dxa"/>
            <w:tcBorders>
              <w:top w:val="nil"/>
              <w:left w:val="nil"/>
              <w:bottom w:val="single" w:color="auto" w:sz="4" w:space="0"/>
              <w:right w:val="single" w:color="auto" w:sz="4" w:space="0"/>
            </w:tcBorders>
            <w:shd w:val="clear" w:color="auto" w:fill="auto"/>
            <w:noWrap w:val="0"/>
            <w:vAlign w:val="center"/>
          </w:tcPr>
          <w:p w14:paraId="5BACAE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3"/>
                <w:szCs w:val="13"/>
                <w:highlight w:val="none"/>
                <w:lang w:val="en-US" w:eastAsia="zh-CN" w:bidi="ar-SA"/>
              </w:rPr>
            </w:pPr>
          </w:p>
        </w:tc>
      </w:tr>
      <w:tr w14:paraId="1DD3CED3">
        <w:tblPrEx>
          <w:tblCellMar>
            <w:top w:w="0" w:type="dxa"/>
            <w:left w:w="108" w:type="dxa"/>
            <w:bottom w:w="0" w:type="dxa"/>
            <w:right w:w="108" w:type="dxa"/>
          </w:tblCellMar>
        </w:tblPrEx>
        <w:trPr>
          <w:trHeight w:val="1366" w:hRule="atLeast"/>
          <w:jc w:val="center"/>
        </w:trPr>
        <w:tc>
          <w:tcPr>
            <w:tcW w:w="1080" w:type="dxa"/>
            <w:vMerge w:val="continue"/>
            <w:tcBorders>
              <w:left w:val="single" w:color="auto" w:sz="4" w:space="0"/>
              <w:right w:val="single" w:color="auto" w:sz="4" w:space="0"/>
            </w:tcBorders>
            <w:noWrap w:val="0"/>
            <w:vAlign w:val="center"/>
          </w:tcPr>
          <w:p w14:paraId="743378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81244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61269D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continue"/>
            <w:tcBorders>
              <w:left w:val="single" w:color="auto" w:sz="4" w:space="0"/>
              <w:bottom w:val="single" w:color="auto" w:sz="4" w:space="0"/>
              <w:right w:val="single" w:color="auto" w:sz="4" w:space="0"/>
            </w:tcBorders>
            <w:noWrap w:val="0"/>
            <w:vAlign w:val="center"/>
          </w:tcPr>
          <w:p w14:paraId="0CFF09CF">
            <w:pPr>
              <w:keepNext w:val="0"/>
              <w:keepLines w:val="0"/>
              <w:widowControl/>
              <w:suppressLineNumbers w:val="0"/>
              <w:jc w:val="left"/>
              <w:textAlignment w:val="center"/>
              <w:rPr>
                <w:rFonts w:ascii="宋体" w:hAnsi="宋体" w:eastAsia="宋体" w:cs="宋体"/>
                <w:i w:val="0"/>
                <w:iCs w:val="0"/>
                <w:color w:val="000000"/>
                <w:kern w:val="0"/>
                <w:sz w:val="13"/>
                <w:szCs w:val="13"/>
                <w:u w:val="none"/>
                <w:lang w:val="en-US" w:eastAsia="zh-CN" w:bidi="ar"/>
              </w:rPr>
            </w:pPr>
          </w:p>
        </w:tc>
        <w:tc>
          <w:tcPr>
            <w:tcW w:w="1134" w:type="dxa"/>
            <w:tcBorders>
              <w:top w:val="nil"/>
              <w:left w:val="nil"/>
              <w:bottom w:val="single" w:color="auto" w:sz="4" w:space="0"/>
              <w:right w:val="single" w:color="auto" w:sz="4" w:space="0"/>
            </w:tcBorders>
            <w:shd w:val="clear" w:color="auto" w:fill="auto"/>
            <w:noWrap w:val="0"/>
            <w:vAlign w:val="center"/>
          </w:tcPr>
          <w:p w14:paraId="597237E8">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ascii="宋体" w:hAnsi="宋体" w:eastAsia="宋体" w:cs="宋体"/>
                <w:i w:val="0"/>
                <w:iCs w:val="0"/>
                <w:color w:val="000000"/>
                <w:kern w:val="0"/>
                <w:sz w:val="14"/>
                <w:szCs w:val="14"/>
                <w:u w:val="none"/>
                <w:lang w:val="en-US" w:eastAsia="zh-CN" w:bidi="ar"/>
              </w:rPr>
              <w:t>局机关办公网络稳定运行时间不低于95%</w:t>
            </w:r>
          </w:p>
        </w:tc>
        <w:tc>
          <w:tcPr>
            <w:tcW w:w="1134" w:type="dxa"/>
            <w:tcBorders>
              <w:top w:val="nil"/>
              <w:left w:val="nil"/>
              <w:bottom w:val="single" w:color="auto" w:sz="4" w:space="0"/>
              <w:right w:val="single" w:color="auto" w:sz="4" w:space="0"/>
            </w:tcBorders>
            <w:shd w:val="clear" w:color="auto" w:fill="auto"/>
            <w:noWrap w:val="0"/>
            <w:vAlign w:val="center"/>
          </w:tcPr>
          <w:p w14:paraId="6DD8DA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宋体" w:hAnsi="宋体" w:cs="宋体"/>
                <w:i w:val="0"/>
                <w:iCs w:val="0"/>
                <w:color w:val="000000"/>
                <w:kern w:val="0"/>
                <w:sz w:val="13"/>
                <w:szCs w:val="13"/>
                <w:u w:val="none"/>
                <w:lang w:val="en-US" w:eastAsia="zh-CN" w:bidi="ar"/>
              </w:rPr>
              <w:t>95以上</w:t>
            </w:r>
          </w:p>
        </w:tc>
        <w:tc>
          <w:tcPr>
            <w:tcW w:w="828" w:type="dxa"/>
            <w:tcBorders>
              <w:top w:val="nil"/>
              <w:left w:val="nil"/>
              <w:bottom w:val="single" w:color="auto" w:sz="4" w:space="0"/>
              <w:right w:val="single" w:color="auto" w:sz="4" w:space="0"/>
            </w:tcBorders>
            <w:shd w:val="clear" w:color="auto" w:fill="auto"/>
            <w:noWrap w:val="0"/>
            <w:vAlign w:val="center"/>
          </w:tcPr>
          <w:p w14:paraId="302F6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lang w:val="en-US" w:eastAsia="zh-CN"/>
              </w:rPr>
              <w:t>2</w:t>
            </w:r>
          </w:p>
        </w:tc>
        <w:tc>
          <w:tcPr>
            <w:tcW w:w="873" w:type="dxa"/>
            <w:tcBorders>
              <w:top w:val="nil"/>
              <w:left w:val="nil"/>
              <w:bottom w:val="single" w:color="auto" w:sz="4" w:space="0"/>
              <w:right w:val="single" w:color="auto" w:sz="4" w:space="0"/>
            </w:tcBorders>
            <w:shd w:val="clear" w:color="auto" w:fill="auto"/>
            <w:noWrap w:val="0"/>
            <w:vAlign w:val="center"/>
          </w:tcPr>
          <w:p w14:paraId="05867E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lang w:val="en-US" w:eastAsia="zh-CN"/>
              </w:rPr>
              <w:t>2</w:t>
            </w:r>
          </w:p>
        </w:tc>
        <w:tc>
          <w:tcPr>
            <w:tcW w:w="1418" w:type="dxa"/>
            <w:tcBorders>
              <w:top w:val="nil"/>
              <w:left w:val="nil"/>
              <w:bottom w:val="single" w:color="auto" w:sz="4" w:space="0"/>
              <w:right w:val="single" w:color="auto" w:sz="4" w:space="0"/>
            </w:tcBorders>
            <w:shd w:val="clear" w:color="auto" w:fill="auto"/>
            <w:noWrap w:val="0"/>
            <w:vAlign w:val="center"/>
          </w:tcPr>
          <w:p w14:paraId="179224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3"/>
                <w:szCs w:val="13"/>
                <w:highlight w:val="none"/>
                <w:lang w:val="en-US" w:eastAsia="zh-CN" w:bidi="ar-SA"/>
              </w:rPr>
            </w:pPr>
          </w:p>
        </w:tc>
      </w:tr>
      <w:tr w14:paraId="485323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DD04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CB875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92DF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0FBDF9">
            <w:pPr>
              <w:keepNext w:val="0"/>
              <w:keepLines w:val="0"/>
              <w:widowControl/>
              <w:suppressLineNumbers w:val="0"/>
              <w:jc w:val="left"/>
              <w:textAlignment w:val="center"/>
              <w:rPr>
                <w:rFonts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积极组织收入</w:t>
            </w:r>
          </w:p>
        </w:tc>
        <w:tc>
          <w:tcPr>
            <w:tcW w:w="1134" w:type="dxa"/>
            <w:tcBorders>
              <w:top w:val="nil"/>
              <w:left w:val="nil"/>
              <w:bottom w:val="single" w:color="auto" w:sz="4" w:space="0"/>
              <w:right w:val="single" w:color="auto" w:sz="4" w:space="0"/>
            </w:tcBorders>
            <w:shd w:val="clear" w:color="auto" w:fill="auto"/>
            <w:noWrap w:val="0"/>
            <w:vAlign w:val="center"/>
          </w:tcPr>
          <w:p w14:paraId="568B0C5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是否按进度完成</w:t>
            </w:r>
          </w:p>
        </w:tc>
        <w:tc>
          <w:tcPr>
            <w:tcW w:w="1134" w:type="dxa"/>
            <w:tcBorders>
              <w:top w:val="nil"/>
              <w:left w:val="nil"/>
              <w:bottom w:val="single" w:color="auto" w:sz="4" w:space="0"/>
              <w:right w:val="single" w:color="auto" w:sz="4" w:space="0"/>
            </w:tcBorders>
            <w:shd w:val="clear" w:color="auto" w:fill="auto"/>
            <w:noWrap w:val="0"/>
            <w:vAlign w:val="center"/>
          </w:tcPr>
          <w:p w14:paraId="7B6659A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按进度完成</w:t>
            </w:r>
          </w:p>
        </w:tc>
        <w:tc>
          <w:tcPr>
            <w:tcW w:w="828" w:type="dxa"/>
            <w:tcBorders>
              <w:top w:val="nil"/>
              <w:left w:val="nil"/>
              <w:bottom w:val="single" w:color="auto" w:sz="4" w:space="0"/>
              <w:right w:val="single" w:color="auto" w:sz="4" w:space="0"/>
            </w:tcBorders>
            <w:shd w:val="clear" w:color="auto" w:fill="auto"/>
            <w:noWrap w:val="0"/>
            <w:vAlign w:val="center"/>
          </w:tcPr>
          <w:p w14:paraId="4E81A6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cs="宋体"/>
                <w:i w:val="0"/>
                <w:iCs w:val="0"/>
                <w:color w:val="000000"/>
                <w:kern w:val="0"/>
                <w:sz w:val="13"/>
                <w:szCs w:val="13"/>
                <w:u w:val="none"/>
                <w:lang w:val="en-US" w:eastAsia="zh-CN" w:bidi="ar"/>
              </w:rPr>
            </w:pPr>
            <w:r>
              <w:rPr>
                <w:rFonts w:hint="eastAsia" w:ascii="仿宋_GB2312" w:hAnsi="仿宋_GB2312" w:eastAsia="仿宋_GB2312" w:cs="仿宋_GB2312"/>
                <w:color w:val="000000"/>
                <w:sz w:val="13"/>
                <w:szCs w:val="13"/>
                <w:highlight w:val="none"/>
                <w:lang w:val="en-US" w:eastAsia="zh-CN"/>
              </w:rPr>
              <w:t>3</w:t>
            </w:r>
          </w:p>
        </w:tc>
        <w:tc>
          <w:tcPr>
            <w:tcW w:w="873" w:type="dxa"/>
            <w:tcBorders>
              <w:top w:val="nil"/>
              <w:left w:val="nil"/>
              <w:bottom w:val="single" w:color="auto" w:sz="4" w:space="0"/>
              <w:right w:val="single" w:color="auto" w:sz="4" w:space="0"/>
            </w:tcBorders>
            <w:shd w:val="clear" w:color="auto" w:fill="auto"/>
            <w:noWrap w:val="0"/>
            <w:vAlign w:val="center"/>
          </w:tcPr>
          <w:p w14:paraId="4C9657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1418" w:type="dxa"/>
            <w:tcBorders>
              <w:top w:val="nil"/>
              <w:left w:val="nil"/>
              <w:bottom w:val="single" w:color="auto" w:sz="4" w:space="0"/>
              <w:right w:val="single" w:color="auto" w:sz="4" w:space="0"/>
            </w:tcBorders>
            <w:shd w:val="clear" w:color="auto" w:fill="auto"/>
            <w:noWrap w:val="0"/>
            <w:vAlign w:val="center"/>
          </w:tcPr>
          <w:p w14:paraId="509C0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p>
        </w:tc>
      </w:tr>
      <w:tr w14:paraId="584716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F6A2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4D9A8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61579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F6D2DF">
            <w:pPr>
              <w:keepNext w:val="0"/>
              <w:keepLines w:val="0"/>
              <w:widowControl/>
              <w:suppressLineNumbers w:val="0"/>
              <w:jc w:val="left"/>
              <w:textAlignment w:val="center"/>
              <w:rPr>
                <w:rFonts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按进度、及时办理资金审批和拨付</w:t>
            </w:r>
          </w:p>
        </w:tc>
        <w:tc>
          <w:tcPr>
            <w:tcW w:w="1134" w:type="dxa"/>
            <w:tcBorders>
              <w:top w:val="nil"/>
              <w:left w:val="nil"/>
              <w:bottom w:val="single" w:color="auto" w:sz="4" w:space="0"/>
              <w:right w:val="single" w:color="auto" w:sz="4" w:space="0"/>
            </w:tcBorders>
            <w:shd w:val="clear" w:color="auto" w:fill="auto"/>
            <w:noWrap w:val="0"/>
            <w:vAlign w:val="center"/>
          </w:tcPr>
          <w:p w14:paraId="338A9A9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支出是否按进度完成</w:t>
            </w:r>
          </w:p>
        </w:tc>
        <w:tc>
          <w:tcPr>
            <w:tcW w:w="1134" w:type="dxa"/>
            <w:tcBorders>
              <w:top w:val="nil"/>
              <w:left w:val="nil"/>
              <w:bottom w:val="single" w:color="auto" w:sz="4" w:space="0"/>
              <w:right w:val="single" w:color="auto" w:sz="4" w:space="0"/>
            </w:tcBorders>
            <w:shd w:val="clear" w:color="auto" w:fill="auto"/>
            <w:noWrap w:val="0"/>
            <w:vAlign w:val="center"/>
          </w:tcPr>
          <w:p w14:paraId="3367B42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按进度完成</w:t>
            </w:r>
          </w:p>
        </w:tc>
        <w:tc>
          <w:tcPr>
            <w:tcW w:w="828" w:type="dxa"/>
            <w:tcBorders>
              <w:top w:val="nil"/>
              <w:left w:val="nil"/>
              <w:bottom w:val="single" w:color="auto" w:sz="4" w:space="0"/>
              <w:right w:val="single" w:color="auto" w:sz="4" w:space="0"/>
            </w:tcBorders>
            <w:shd w:val="clear" w:color="auto" w:fill="auto"/>
            <w:noWrap w:val="0"/>
            <w:vAlign w:val="center"/>
          </w:tcPr>
          <w:p w14:paraId="15B907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873" w:type="dxa"/>
            <w:tcBorders>
              <w:top w:val="nil"/>
              <w:left w:val="nil"/>
              <w:bottom w:val="single" w:color="auto" w:sz="4" w:space="0"/>
              <w:right w:val="single" w:color="auto" w:sz="4" w:space="0"/>
            </w:tcBorders>
            <w:shd w:val="clear" w:color="auto" w:fill="auto"/>
            <w:noWrap w:val="0"/>
            <w:vAlign w:val="center"/>
          </w:tcPr>
          <w:p w14:paraId="411D4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1418" w:type="dxa"/>
            <w:tcBorders>
              <w:top w:val="nil"/>
              <w:left w:val="nil"/>
              <w:bottom w:val="single" w:color="auto" w:sz="4" w:space="0"/>
              <w:right w:val="single" w:color="auto" w:sz="4" w:space="0"/>
            </w:tcBorders>
            <w:shd w:val="clear" w:color="auto" w:fill="auto"/>
            <w:noWrap w:val="0"/>
            <w:vAlign w:val="center"/>
          </w:tcPr>
          <w:p w14:paraId="2433E9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p>
        </w:tc>
      </w:tr>
      <w:tr w14:paraId="36EF00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0329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F406C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D9F18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39DC03">
            <w:pPr>
              <w:keepNext w:val="0"/>
              <w:keepLines w:val="0"/>
              <w:widowControl/>
              <w:suppressLineNumbers w:val="0"/>
              <w:jc w:val="left"/>
              <w:textAlignment w:val="center"/>
              <w:rPr>
                <w:rFonts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业务工作按进度完成</w:t>
            </w:r>
          </w:p>
        </w:tc>
        <w:tc>
          <w:tcPr>
            <w:tcW w:w="1134" w:type="dxa"/>
            <w:tcBorders>
              <w:top w:val="nil"/>
              <w:left w:val="nil"/>
              <w:bottom w:val="single" w:color="auto" w:sz="4" w:space="0"/>
              <w:right w:val="single" w:color="auto" w:sz="4" w:space="0"/>
            </w:tcBorders>
            <w:shd w:val="clear" w:color="auto" w:fill="auto"/>
            <w:noWrap w:val="0"/>
            <w:vAlign w:val="center"/>
          </w:tcPr>
          <w:p w14:paraId="1BCF414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各项财政业务工作按规定进度完成</w:t>
            </w:r>
          </w:p>
        </w:tc>
        <w:tc>
          <w:tcPr>
            <w:tcW w:w="1134" w:type="dxa"/>
            <w:tcBorders>
              <w:top w:val="nil"/>
              <w:left w:val="nil"/>
              <w:bottom w:val="single" w:color="auto" w:sz="4" w:space="0"/>
              <w:right w:val="single" w:color="auto" w:sz="4" w:space="0"/>
            </w:tcBorders>
            <w:shd w:val="clear" w:color="auto" w:fill="auto"/>
            <w:noWrap w:val="0"/>
            <w:vAlign w:val="center"/>
          </w:tcPr>
          <w:p w14:paraId="15E1628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按进度完成</w:t>
            </w:r>
          </w:p>
        </w:tc>
        <w:tc>
          <w:tcPr>
            <w:tcW w:w="828" w:type="dxa"/>
            <w:tcBorders>
              <w:top w:val="nil"/>
              <w:left w:val="nil"/>
              <w:bottom w:val="single" w:color="auto" w:sz="4" w:space="0"/>
              <w:right w:val="single" w:color="auto" w:sz="4" w:space="0"/>
            </w:tcBorders>
            <w:shd w:val="clear" w:color="auto" w:fill="auto"/>
            <w:noWrap w:val="0"/>
            <w:vAlign w:val="center"/>
          </w:tcPr>
          <w:p w14:paraId="3EB97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873" w:type="dxa"/>
            <w:tcBorders>
              <w:top w:val="nil"/>
              <w:left w:val="nil"/>
              <w:bottom w:val="single" w:color="auto" w:sz="4" w:space="0"/>
              <w:right w:val="single" w:color="auto" w:sz="4" w:space="0"/>
            </w:tcBorders>
            <w:shd w:val="clear" w:color="auto" w:fill="auto"/>
            <w:noWrap w:val="0"/>
            <w:vAlign w:val="center"/>
          </w:tcPr>
          <w:p w14:paraId="105E16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lang w:val="en-US" w:eastAsia="zh-CN"/>
              </w:rPr>
              <w:t>3</w:t>
            </w:r>
          </w:p>
        </w:tc>
        <w:tc>
          <w:tcPr>
            <w:tcW w:w="1418" w:type="dxa"/>
            <w:tcBorders>
              <w:top w:val="nil"/>
              <w:left w:val="nil"/>
              <w:bottom w:val="single" w:color="auto" w:sz="4" w:space="0"/>
              <w:right w:val="single" w:color="auto" w:sz="4" w:space="0"/>
            </w:tcBorders>
            <w:shd w:val="clear" w:color="auto" w:fill="auto"/>
            <w:noWrap w:val="0"/>
            <w:vAlign w:val="center"/>
          </w:tcPr>
          <w:p w14:paraId="75C92B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3"/>
                <w:szCs w:val="13"/>
                <w:highlight w:val="none"/>
                <w:lang w:val="en-US" w:eastAsia="zh-CN" w:bidi="ar-SA"/>
              </w:rPr>
            </w:pPr>
          </w:p>
        </w:tc>
      </w:tr>
      <w:tr w14:paraId="0D8BE4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E40C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D77AB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9A09D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41073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4F756B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F507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CB2F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3C4A851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促进地方经济平稳增长</w:t>
            </w:r>
          </w:p>
        </w:tc>
        <w:tc>
          <w:tcPr>
            <w:tcW w:w="1134" w:type="dxa"/>
            <w:tcBorders>
              <w:top w:val="single" w:color="auto" w:sz="4" w:space="0"/>
              <w:left w:val="nil"/>
              <w:bottom w:val="single" w:color="auto" w:sz="4" w:space="0"/>
              <w:right w:val="single" w:color="auto" w:sz="4" w:space="0"/>
            </w:tcBorders>
            <w:noWrap w:val="0"/>
            <w:vAlign w:val="center"/>
          </w:tcPr>
          <w:p w14:paraId="72FC21A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SA"/>
              </w:rPr>
            </w:pPr>
            <w:r>
              <w:rPr>
                <w:rFonts w:hint="eastAsia" w:ascii="宋体" w:hAnsi="宋体" w:cs="宋体"/>
                <w:i w:val="0"/>
                <w:iCs w:val="0"/>
                <w:color w:val="000000"/>
                <w:kern w:val="0"/>
                <w:sz w:val="13"/>
                <w:szCs w:val="13"/>
                <w:u w:val="none"/>
                <w:lang w:val="en-US" w:eastAsia="zh-CN" w:bidi="ar"/>
              </w:rPr>
              <w:t>0</w:t>
            </w:r>
          </w:p>
        </w:tc>
        <w:tc>
          <w:tcPr>
            <w:tcW w:w="1134" w:type="dxa"/>
            <w:tcBorders>
              <w:top w:val="single" w:color="auto" w:sz="4" w:space="0"/>
              <w:left w:val="nil"/>
              <w:bottom w:val="single" w:color="auto" w:sz="4" w:space="0"/>
              <w:right w:val="single" w:color="auto" w:sz="4" w:space="0"/>
            </w:tcBorders>
            <w:noWrap w:val="0"/>
            <w:vAlign w:val="center"/>
          </w:tcPr>
          <w:p w14:paraId="7B3E76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宋体" w:hAnsi="宋体" w:cs="宋体"/>
                <w:i w:val="0"/>
                <w:iCs w:val="0"/>
                <w:color w:val="000000"/>
                <w:kern w:val="0"/>
                <w:sz w:val="13"/>
                <w:szCs w:val="13"/>
                <w:u w:val="none"/>
                <w:lang w:val="en-US" w:eastAsia="zh-CN" w:bidi="ar"/>
              </w:rPr>
              <w:t>比上年</w:t>
            </w:r>
            <w:r>
              <w:rPr>
                <w:rFonts w:hint="eastAsia" w:ascii="宋体" w:hAnsi="宋体" w:eastAsia="宋体" w:cs="宋体"/>
                <w:i w:val="0"/>
                <w:iCs w:val="0"/>
                <w:color w:val="000000"/>
                <w:kern w:val="0"/>
                <w:sz w:val="13"/>
                <w:szCs w:val="13"/>
                <w:u w:val="none"/>
                <w:lang w:val="en-US" w:eastAsia="zh-CN" w:bidi="ar"/>
              </w:rPr>
              <w:t>增长1</w:t>
            </w:r>
            <w:r>
              <w:rPr>
                <w:rFonts w:hint="eastAsia" w:ascii="宋体" w:hAnsi="宋体" w:cs="宋体"/>
                <w:i w:val="0"/>
                <w:iCs w:val="0"/>
                <w:color w:val="000000"/>
                <w:kern w:val="0"/>
                <w:sz w:val="13"/>
                <w:szCs w:val="13"/>
                <w:u w:val="none"/>
                <w:lang w:val="en-US" w:eastAsia="zh-CN" w:bidi="ar"/>
              </w:rPr>
              <w:t>1.86</w:t>
            </w:r>
            <w:r>
              <w:rPr>
                <w:rFonts w:hint="eastAsia" w:ascii="宋体" w:hAnsi="宋体" w:eastAsia="宋体" w:cs="宋体"/>
                <w:i w:val="0"/>
                <w:iCs w:val="0"/>
                <w:color w:val="000000"/>
                <w:kern w:val="0"/>
                <w:sz w:val="13"/>
                <w:szCs w:val="13"/>
                <w:u w:val="none"/>
                <w:lang w:val="en-US" w:eastAsia="zh-CN" w:bidi="ar"/>
              </w:rPr>
              <w:t>%</w:t>
            </w:r>
          </w:p>
        </w:tc>
        <w:tc>
          <w:tcPr>
            <w:tcW w:w="828" w:type="dxa"/>
            <w:tcBorders>
              <w:top w:val="single" w:color="auto" w:sz="4" w:space="0"/>
              <w:left w:val="nil"/>
              <w:bottom w:val="single" w:color="auto" w:sz="4" w:space="0"/>
              <w:right w:val="single" w:color="auto" w:sz="4" w:space="0"/>
            </w:tcBorders>
            <w:noWrap w:val="0"/>
            <w:vAlign w:val="center"/>
          </w:tcPr>
          <w:p w14:paraId="306978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14:paraId="3B31C1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14:paraId="7F8DCF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2CAC93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64F5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209BDA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7C48E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社会</w:t>
            </w:r>
            <w:r>
              <w:rPr>
                <w:rFonts w:hint="eastAsia" w:ascii="仿宋_GB2312" w:hAnsi="仿宋_GB2312" w:eastAsia="仿宋_GB2312" w:cs="仿宋_GB2312"/>
                <w:color w:val="000000"/>
                <w:sz w:val="20"/>
                <w:szCs w:val="20"/>
                <w:highlight w:val="none"/>
              </w:rPr>
              <w:t>效</w:t>
            </w:r>
          </w:p>
          <w:p w14:paraId="5AFD0E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A954AF">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i w:val="0"/>
                <w:iCs w:val="0"/>
                <w:color w:val="000000"/>
                <w:kern w:val="0"/>
                <w:sz w:val="13"/>
                <w:szCs w:val="13"/>
                <w:u w:val="none"/>
                <w:lang w:val="en-US" w:eastAsia="zh-CN" w:bidi="ar"/>
              </w:rPr>
              <w:t>三保支出是否有效保障</w:t>
            </w:r>
          </w:p>
        </w:tc>
        <w:tc>
          <w:tcPr>
            <w:tcW w:w="1134" w:type="dxa"/>
            <w:tcBorders>
              <w:top w:val="nil"/>
              <w:left w:val="nil"/>
              <w:bottom w:val="single" w:color="auto" w:sz="4" w:space="0"/>
              <w:right w:val="single" w:color="auto" w:sz="4" w:space="0"/>
            </w:tcBorders>
            <w:noWrap w:val="0"/>
            <w:vAlign w:val="center"/>
          </w:tcPr>
          <w:p w14:paraId="0D975DB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有效保障</w:t>
            </w:r>
          </w:p>
        </w:tc>
        <w:tc>
          <w:tcPr>
            <w:tcW w:w="1134" w:type="dxa"/>
            <w:tcBorders>
              <w:top w:val="nil"/>
              <w:left w:val="nil"/>
              <w:bottom w:val="single" w:color="auto" w:sz="4" w:space="0"/>
              <w:right w:val="single" w:color="auto" w:sz="4" w:space="0"/>
            </w:tcBorders>
            <w:noWrap w:val="0"/>
            <w:vAlign w:val="center"/>
          </w:tcPr>
          <w:p w14:paraId="2847016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有效保障</w:t>
            </w:r>
          </w:p>
        </w:tc>
        <w:tc>
          <w:tcPr>
            <w:tcW w:w="828" w:type="dxa"/>
            <w:tcBorders>
              <w:top w:val="nil"/>
              <w:left w:val="nil"/>
              <w:bottom w:val="single" w:color="auto" w:sz="4" w:space="0"/>
              <w:right w:val="single" w:color="auto" w:sz="4" w:space="0"/>
            </w:tcBorders>
            <w:noWrap w:val="0"/>
            <w:vAlign w:val="center"/>
          </w:tcPr>
          <w:p w14:paraId="7FE4230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color w:val="000000"/>
                <w:sz w:val="13"/>
                <w:szCs w:val="13"/>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638E0C2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color w:val="000000"/>
                <w:sz w:val="13"/>
                <w:szCs w:val="13"/>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61668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6598CAE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62FE32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5D9987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C735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7BBC559">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i w:val="0"/>
                <w:iCs w:val="0"/>
                <w:color w:val="000000"/>
                <w:kern w:val="0"/>
                <w:sz w:val="13"/>
                <w:szCs w:val="13"/>
                <w:u w:val="none"/>
                <w:lang w:val="en-US" w:eastAsia="zh-CN" w:bidi="ar"/>
              </w:rPr>
              <w:t>提高全区财务管理水平</w:t>
            </w:r>
          </w:p>
        </w:tc>
        <w:tc>
          <w:tcPr>
            <w:tcW w:w="1134" w:type="dxa"/>
            <w:tcBorders>
              <w:top w:val="single" w:color="auto" w:sz="4" w:space="0"/>
              <w:left w:val="nil"/>
              <w:bottom w:val="single" w:color="auto" w:sz="4" w:space="0"/>
              <w:right w:val="single" w:color="auto" w:sz="4" w:space="0"/>
            </w:tcBorders>
            <w:noWrap w:val="0"/>
            <w:vAlign w:val="center"/>
          </w:tcPr>
          <w:p w14:paraId="75D3565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0</w:t>
            </w:r>
          </w:p>
        </w:tc>
        <w:tc>
          <w:tcPr>
            <w:tcW w:w="1134" w:type="dxa"/>
            <w:tcBorders>
              <w:top w:val="nil"/>
              <w:left w:val="nil"/>
              <w:bottom w:val="single" w:color="auto" w:sz="4" w:space="0"/>
              <w:right w:val="single" w:color="auto" w:sz="4" w:space="0"/>
            </w:tcBorders>
            <w:noWrap w:val="0"/>
            <w:vAlign w:val="center"/>
          </w:tcPr>
          <w:p w14:paraId="4665618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比上年增长</w:t>
            </w:r>
          </w:p>
        </w:tc>
        <w:tc>
          <w:tcPr>
            <w:tcW w:w="828" w:type="dxa"/>
            <w:tcBorders>
              <w:top w:val="nil"/>
              <w:left w:val="nil"/>
              <w:bottom w:val="single" w:color="auto" w:sz="4" w:space="0"/>
              <w:right w:val="single" w:color="auto" w:sz="4" w:space="0"/>
            </w:tcBorders>
            <w:noWrap w:val="0"/>
            <w:vAlign w:val="center"/>
          </w:tcPr>
          <w:p w14:paraId="4F6C48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color w:val="000000"/>
                <w:sz w:val="13"/>
                <w:szCs w:val="13"/>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12C789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color w:val="000000"/>
                <w:sz w:val="13"/>
                <w:szCs w:val="13"/>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65EF37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29DF37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1856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7F86FD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2AA9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F939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7F5E34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生态环境改善情况</w:t>
            </w:r>
          </w:p>
        </w:tc>
        <w:tc>
          <w:tcPr>
            <w:tcW w:w="1134" w:type="dxa"/>
            <w:tcBorders>
              <w:top w:val="nil"/>
              <w:left w:val="nil"/>
              <w:bottom w:val="single" w:color="auto" w:sz="4" w:space="0"/>
              <w:right w:val="single" w:color="auto" w:sz="4" w:space="0"/>
            </w:tcBorders>
            <w:noWrap w:val="0"/>
            <w:vAlign w:val="center"/>
          </w:tcPr>
          <w:p w14:paraId="733109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生态环境有所改善</w:t>
            </w:r>
          </w:p>
        </w:tc>
        <w:tc>
          <w:tcPr>
            <w:tcW w:w="1134" w:type="dxa"/>
            <w:tcBorders>
              <w:top w:val="nil"/>
              <w:left w:val="nil"/>
              <w:bottom w:val="single" w:color="auto" w:sz="4" w:space="0"/>
              <w:right w:val="single" w:color="auto" w:sz="4" w:space="0"/>
            </w:tcBorders>
            <w:noWrap w:val="0"/>
            <w:vAlign w:val="center"/>
          </w:tcPr>
          <w:p w14:paraId="140B9E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有所改善</w:t>
            </w:r>
          </w:p>
        </w:tc>
        <w:tc>
          <w:tcPr>
            <w:tcW w:w="828" w:type="dxa"/>
            <w:tcBorders>
              <w:top w:val="nil"/>
              <w:left w:val="nil"/>
              <w:bottom w:val="single" w:color="auto" w:sz="4" w:space="0"/>
              <w:right w:val="single" w:color="auto" w:sz="4" w:space="0"/>
            </w:tcBorders>
            <w:noWrap w:val="0"/>
            <w:vAlign w:val="center"/>
          </w:tcPr>
          <w:p w14:paraId="6F134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15422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429448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7457AE2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EEB4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A8C37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59B9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C1C6A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防范化解财政运行风险，区域经济平稳运行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F10CD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区域经济平稳运行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C78B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宋体" w:hAnsi="宋体" w:cs="宋体"/>
                <w:i w:val="0"/>
                <w:iCs w:val="0"/>
                <w:color w:val="000000"/>
                <w:kern w:val="0"/>
                <w:sz w:val="13"/>
                <w:szCs w:val="13"/>
                <w:u w:val="none"/>
                <w:lang w:val="en-US" w:eastAsia="zh-CN" w:bidi="ar"/>
              </w:rPr>
              <w:t>未</w:t>
            </w:r>
            <w:r>
              <w:rPr>
                <w:rFonts w:ascii="宋体" w:hAnsi="宋体" w:eastAsia="宋体" w:cs="宋体"/>
                <w:i w:val="0"/>
                <w:iCs w:val="0"/>
                <w:color w:val="000000"/>
                <w:kern w:val="0"/>
                <w:sz w:val="13"/>
                <w:szCs w:val="13"/>
                <w:u w:val="none"/>
                <w:lang w:val="en-US" w:eastAsia="zh-CN" w:bidi="ar"/>
              </w:rPr>
              <w:t>出现风险事件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FFB2B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7774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26C9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31E712F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4C4A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62A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0分）</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FEF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经济</w:t>
            </w: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62ACE7A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严格控制成本，避免出现支出超预算现象</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A04E937">
            <w:pPr>
              <w:keepNext w:val="0"/>
              <w:keepLines w:val="0"/>
              <w:widowControl/>
              <w:suppressLineNumbers w:val="0"/>
              <w:jc w:val="left"/>
              <w:textAlignment w:val="center"/>
              <w:rPr>
                <w:rFonts w:hint="eastAsia"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w:t>
            </w:r>
            <w:r>
              <w:rPr>
                <w:rFonts w:hint="eastAsia" w:ascii="宋体" w:hAnsi="宋体" w:cs="宋体"/>
                <w:i w:val="0"/>
                <w:iCs w:val="0"/>
                <w:color w:val="auto"/>
                <w:kern w:val="0"/>
                <w:sz w:val="13"/>
                <w:szCs w:val="13"/>
                <w:u w:val="none"/>
                <w:lang w:val="en-US" w:eastAsia="zh-CN" w:bidi="ar"/>
              </w:rPr>
              <w:t>471.35</w:t>
            </w:r>
            <w:r>
              <w:rPr>
                <w:rFonts w:ascii="宋体" w:hAnsi="宋体" w:eastAsia="宋体" w:cs="宋体"/>
                <w:i w:val="0"/>
                <w:iCs w:val="0"/>
                <w:color w:val="auto"/>
                <w:kern w:val="0"/>
                <w:sz w:val="13"/>
                <w:szCs w:val="13"/>
                <w:u w:val="none"/>
                <w:lang w:val="en-US" w:eastAsia="zh-CN" w:bidi="ar"/>
              </w:rPr>
              <w:t>万元</w:t>
            </w:r>
          </w:p>
        </w:tc>
        <w:tc>
          <w:tcPr>
            <w:tcW w:w="1134" w:type="dxa"/>
            <w:tcBorders>
              <w:top w:val="nil"/>
              <w:left w:val="nil"/>
              <w:bottom w:val="single" w:color="auto" w:sz="4" w:space="0"/>
              <w:right w:val="single" w:color="auto" w:sz="4" w:space="0"/>
            </w:tcBorders>
            <w:shd w:val="clear" w:color="auto" w:fill="auto"/>
            <w:noWrap w:val="0"/>
            <w:vAlign w:val="center"/>
          </w:tcPr>
          <w:p w14:paraId="11D8FB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393.57</w:t>
            </w:r>
            <w:r>
              <w:rPr>
                <w:rFonts w:ascii="宋体" w:hAnsi="宋体" w:eastAsia="宋体" w:cs="宋体"/>
                <w:i w:val="0"/>
                <w:iCs w:val="0"/>
                <w:color w:val="auto"/>
                <w:kern w:val="0"/>
                <w:sz w:val="13"/>
                <w:szCs w:val="13"/>
                <w:u w:val="none"/>
                <w:lang w:val="en-US" w:eastAsia="zh-CN" w:bidi="ar"/>
              </w:rPr>
              <w:t>万元</w:t>
            </w:r>
          </w:p>
        </w:tc>
        <w:tc>
          <w:tcPr>
            <w:tcW w:w="828" w:type="dxa"/>
            <w:tcBorders>
              <w:top w:val="nil"/>
              <w:left w:val="nil"/>
              <w:bottom w:val="single" w:color="auto" w:sz="4" w:space="0"/>
              <w:right w:val="single" w:color="auto" w:sz="4" w:space="0"/>
            </w:tcBorders>
            <w:shd w:val="clear" w:color="auto" w:fill="auto"/>
            <w:noWrap w:val="0"/>
            <w:vAlign w:val="center"/>
          </w:tcPr>
          <w:p w14:paraId="172445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lang w:val="en-US" w:eastAsia="zh-CN"/>
              </w:rPr>
              <w:t>20</w:t>
            </w:r>
          </w:p>
        </w:tc>
        <w:tc>
          <w:tcPr>
            <w:tcW w:w="873" w:type="dxa"/>
            <w:tcBorders>
              <w:top w:val="nil"/>
              <w:left w:val="nil"/>
              <w:bottom w:val="single" w:color="auto" w:sz="4" w:space="0"/>
              <w:right w:val="single" w:color="auto" w:sz="4" w:space="0"/>
            </w:tcBorders>
            <w:shd w:val="clear" w:color="auto" w:fill="auto"/>
            <w:noWrap w:val="0"/>
            <w:vAlign w:val="center"/>
          </w:tcPr>
          <w:p w14:paraId="1A6AD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lang w:val="en-US" w:eastAsia="zh-CN"/>
              </w:rPr>
              <w:t>20</w:t>
            </w:r>
          </w:p>
        </w:tc>
        <w:tc>
          <w:tcPr>
            <w:tcW w:w="1418" w:type="dxa"/>
            <w:tcBorders>
              <w:top w:val="nil"/>
              <w:left w:val="nil"/>
              <w:bottom w:val="single" w:color="auto" w:sz="4" w:space="0"/>
              <w:right w:val="single" w:color="auto" w:sz="4" w:space="0"/>
            </w:tcBorders>
            <w:shd w:val="clear" w:color="auto" w:fill="auto"/>
            <w:noWrap w:val="0"/>
            <w:vAlign w:val="center"/>
          </w:tcPr>
          <w:p w14:paraId="789DDB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3"/>
                <w:szCs w:val="13"/>
                <w:highlight w:val="none"/>
                <w:lang w:val="en-US" w:eastAsia="zh-CN" w:bidi="ar-SA"/>
              </w:rPr>
            </w:pPr>
          </w:p>
        </w:tc>
      </w:tr>
      <w:tr w14:paraId="0C9A420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5902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E6C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D48E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1B93C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66B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579B4D3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服务对象满意率90%以上</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10F14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i w:val="0"/>
                <w:iCs w:val="0"/>
                <w:color w:val="000000"/>
                <w:kern w:val="0"/>
                <w:sz w:val="13"/>
                <w:szCs w:val="13"/>
                <w:u w:val="none"/>
                <w:lang w:val="en-US" w:eastAsia="zh-CN" w:bidi="ar"/>
              </w:rPr>
              <w:t>≥90%</w:t>
            </w:r>
          </w:p>
        </w:tc>
        <w:tc>
          <w:tcPr>
            <w:tcW w:w="1134" w:type="dxa"/>
            <w:tcBorders>
              <w:top w:val="nil"/>
              <w:left w:val="nil"/>
              <w:bottom w:val="single" w:color="auto" w:sz="4" w:space="0"/>
              <w:right w:val="single" w:color="auto" w:sz="4" w:space="0"/>
            </w:tcBorders>
            <w:shd w:val="clear" w:color="auto" w:fill="auto"/>
            <w:noWrap w:val="0"/>
            <w:vAlign w:val="center"/>
          </w:tcPr>
          <w:p w14:paraId="6BB212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i w:val="0"/>
                <w:iCs w:val="0"/>
                <w:color w:val="000000"/>
                <w:kern w:val="0"/>
                <w:sz w:val="13"/>
                <w:szCs w:val="13"/>
                <w:u w:val="none"/>
                <w:lang w:val="en-US" w:eastAsia="zh-CN" w:bidi="ar"/>
              </w:rPr>
              <w:t>≥91%</w:t>
            </w:r>
          </w:p>
        </w:tc>
        <w:tc>
          <w:tcPr>
            <w:tcW w:w="828" w:type="dxa"/>
            <w:tcBorders>
              <w:top w:val="nil"/>
              <w:left w:val="nil"/>
              <w:bottom w:val="single" w:color="auto" w:sz="4" w:space="0"/>
              <w:right w:val="single" w:color="auto" w:sz="4" w:space="0"/>
            </w:tcBorders>
            <w:shd w:val="clear" w:color="auto" w:fill="auto"/>
            <w:noWrap w:val="0"/>
            <w:vAlign w:val="center"/>
          </w:tcPr>
          <w:p w14:paraId="350764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3C36F8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color w:val="000000"/>
                <w:kern w:val="0"/>
                <w:sz w:val="13"/>
                <w:szCs w:val="13"/>
                <w:highlight w:val="none"/>
                <w:lang w:val="en-US" w:eastAsia="zh-CN" w:bidi="ar-SA"/>
              </w:rPr>
            </w:pPr>
            <w:r>
              <w:rPr>
                <w:rFonts w:hint="eastAsia" w:ascii="仿宋_GB2312" w:hAnsi="仿宋_GB2312" w:eastAsia="仿宋_GB2312" w:cs="仿宋_GB2312"/>
                <w:b w:val="0"/>
                <w:bCs w:val="0"/>
                <w:color w:val="000000"/>
                <w:sz w:val="13"/>
                <w:szCs w:val="13"/>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8CF8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289E605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9978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0BF29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5C10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418" w:type="dxa"/>
            <w:tcBorders>
              <w:top w:val="nil"/>
              <w:left w:val="nil"/>
              <w:bottom w:val="single" w:color="auto" w:sz="4" w:space="0"/>
              <w:right w:val="single" w:color="auto" w:sz="4" w:space="0"/>
            </w:tcBorders>
            <w:noWrap w:val="0"/>
            <w:vAlign w:val="center"/>
          </w:tcPr>
          <w:p w14:paraId="28D3CE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94137AE">
      <w:pPr>
        <w:rPr>
          <w:rFonts w:hint="default" w:ascii="Times New Roman" w:hAnsi="Times New Roman" w:eastAsia="仿宋_GB2312" w:cs="Times New Roman"/>
          <w:sz w:val="18"/>
          <w:szCs w:val="18"/>
          <w:highlight w:val="none"/>
        </w:rPr>
      </w:pPr>
    </w:p>
    <w:p w14:paraId="023EFEA0">
      <w:pPr>
        <w:pStyle w:val="2"/>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eastAsia="zh-CN"/>
        </w:rPr>
        <w:t>徐皓</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冯慧</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18274069188</w:t>
      </w:r>
    </w:p>
    <w:p w14:paraId="1D53A015">
      <w:pPr>
        <w:pStyle w:val="2"/>
        <w:rPr>
          <w:rFonts w:hint="eastAsia"/>
          <w:lang w:val="en-US" w:eastAsia="zh-CN"/>
        </w:rPr>
      </w:pP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2025年5月8日</w:t>
      </w:r>
    </w:p>
    <w:p w14:paraId="7B2AAFB3">
      <w:pPr>
        <w:rPr>
          <w:rFonts w:hint="eastAsia" w:ascii="Times New Roman" w:hAnsi="Times New Roman" w:eastAsia="仿宋_GB2312" w:cs="Times New Roman"/>
          <w:sz w:val="22"/>
          <w:highlight w:val="none"/>
          <w:lang w:val="en-US" w:eastAsia="zh-CN"/>
        </w:rPr>
      </w:pPr>
    </w:p>
    <w:p w14:paraId="7AE2633C">
      <w:pPr>
        <w:rPr>
          <w:rFonts w:hint="eastAsia" w:ascii="Times New Roman" w:hAnsi="Times New Roman" w:eastAsia="仿宋_GB2312" w:cs="Times New Roman"/>
          <w:sz w:val="22"/>
          <w:highlight w:val="none"/>
          <w:lang w:val="en-US" w:eastAsia="zh-CN"/>
        </w:rPr>
      </w:pPr>
    </w:p>
    <w:p w14:paraId="2FB74CD6">
      <w:pPr>
        <w:rPr>
          <w:rFonts w:hint="eastAsia" w:ascii="Times New Roman" w:hAnsi="Times New Roman" w:eastAsia="仿宋_GB2312" w:cs="Times New Roman"/>
          <w:sz w:val="22"/>
          <w:highlight w:val="none"/>
          <w:lang w:val="en-US" w:eastAsia="zh-CN"/>
        </w:rPr>
      </w:pPr>
    </w:p>
    <w:p w14:paraId="3DB68B16">
      <w:pPr>
        <w:rPr>
          <w:rFonts w:hint="eastAsia" w:ascii="Times New Roman" w:hAnsi="Times New Roman" w:eastAsia="仿宋_GB2312" w:cs="Times New Roman"/>
          <w:sz w:val="22"/>
          <w:highlight w:val="none"/>
          <w:lang w:val="en-US" w:eastAsia="zh-CN"/>
        </w:rPr>
      </w:pPr>
    </w:p>
    <w:p w14:paraId="2F16A6F7">
      <w:pPr>
        <w:rPr>
          <w:rFonts w:hint="eastAsia" w:ascii="Times New Roman" w:hAnsi="Times New Roman" w:eastAsia="仿宋_GB2312" w:cs="Times New Roman"/>
          <w:sz w:val="22"/>
          <w:highlight w:val="none"/>
          <w:lang w:val="en-US" w:eastAsia="zh-CN"/>
        </w:rPr>
      </w:pPr>
    </w:p>
    <w:p w14:paraId="7D9F6C76">
      <w:pPr>
        <w:rPr>
          <w:rFonts w:hint="eastAsia" w:ascii="Times New Roman" w:hAnsi="Times New Roman" w:eastAsia="仿宋_GB2312" w:cs="Times New Roman"/>
          <w:sz w:val="22"/>
          <w:highlight w:val="none"/>
          <w:lang w:val="en-US" w:eastAsia="zh-CN"/>
        </w:rPr>
      </w:pPr>
    </w:p>
    <w:p w14:paraId="35B378BF">
      <w:pPr>
        <w:rPr>
          <w:rFonts w:hint="eastAsia" w:ascii="Times New Roman" w:hAnsi="Times New Roman" w:eastAsia="仿宋_GB2312" w:cs="Times New Roman"/>
          <w:sz w:val="22"/>
          <w:highlight w:val="none"/>
          <w:lang w:val="en-US" w:eastAsia="zh-CN"/>
        </w:rPr>
      </w:pPr>
    </w:p>
    <w:p w14:paraId="693DB62A">
      <w:pPr>
        <w:rPr>
          <w:rFonts w:hint="eastAsia" w:ascii="Times New Roman" w:hAnsi="Times New Roman" w:eastAsia="仿宋_GB2312" w:cs="Times New Roman"/>
          <w:sz w:val="22"/>
          <w:highlight w:val="none"/>
          <w:lang w:val="en-US" w:eastAsia="zh-CN"/>
        </w:rPr>
      </w:pPr>
    </w:p>
    <w:p w14:paraId="24821EA5">
      <w:pPr>
        <w:rPr>
          <w:rFonts w:hint="eastAsia" w:ascii="Times New Roman" w:hAnsi="Times New Roman" w:eastAsia="仿宋_GB2312" w:cs="Times New Roman"/>
          <w:sz w:val="22"/>
          <w:highlight w:val="none"/>
          <w:lang w:val="en-US" w:eastAsia="zh-CN"/>
        </w:rPr>
      </w:pPr>
    </w:p>
    <w:p w14:paraId="19EE1031">
      <w:pPr>
        <w:rPr>
          <w:rFonts w:hint="eastAsia" w:ascii="Times New Roman" w:hAnsi="Times New Roman" w:eastAsia="仿宋_GB2312" w:cs="Times New Roman"/>
          <w:sz w:val="22"/>
          <w:highlight w:val="none"/>
          <w:lang w:val="en-US" w:eastAsia="zh-CN"/>
        </w:rPr>
      </w:pPr>
    </w:p>
    <w:p w14:paraId="07FB92C6">
      <w:pPr>
        <w:rPr>
          <w:rFonts w:hint="eastAsia" w:ascii="Times New Roman" w:hAnsi="Times New Roman" w:eastAsia="仿宋_GB2312" w:cs="Times New Roman"/>
          <w:sz w:val="22"/>
          <w:highlight w:val="none"/>
          <w:lang w:val="en-US" w:eastAsia="zh-CN"/>
        </w:rPr>
      </w:pPr>
    </w:p>
    <w:p w14:paraId="74F304A1">
      <w:pPr>
        <w:rPr>
          <w:rFonts w:hint="eastAsia" w:ascii="Times New Roman" w:hAnsi="Times New Roman" w:eastAsia="仿宋_GB2312" w:cs="Times New Roman"/>
          <w:sz w:val="22"/>
          <w:highlight w:val="none"/>
          <w:lang w:val="en-US" w:eastAsia="zh-CN"/>
        </w:rPr>
      </w:pPr>
    </w:p>
    <w:p w14:paraId="6EDD130C">
      <w:pPr>
        <w:rPr>
          <w:rFonts w:hint="eastAsia" w:ascii="Times New Roman" w:hAnsi="Times New Roman" w:eastAsia="仿宋_GB2312" w:cs="Times New Roman"/>
          <w:sz w:val="22"/>
          <w:highlight w:val="none"/>
          <w:lang w:val="en-US" w:eastAsia="zh-CN"/>
        </w:rPr>
      </w:pPr>
    </w:p>
    <w:p w14:paraId="7EF93884">
      <w:pPr>
        <w:rPr>
          <w:rFonts w:hint="eastAsia" w:ascii="Times New Roman" w:hAnsi="Times New Roman" w:eastAsia="仿宋_GB2312" w:cs="Times New Roman"/>
          <w:sz w:val="22"/>
          <w:highlight w:val="none"/>
          <w:lang w:val="en-US" w:eastAsia="zh-CN"/>
        </w:rPr>
      </w:pPr>
    </w:p>
    <w:p w14:paraId="3EA58000">
      <w:pPr>
        <w:pStyle w:val="2"/>
        <w:rPr>
          <w:rFonts w:hint="eastAsia"/>
          <w:lang w:val="en-US" w:eastAsia="zh-CN"/>
        </w:rPr>
      </w:pPr>
    </w:p>
    <w:p w14:paraId="743FF9DA">
      <w:pPr>
        <w:rPr>
          <w:rFonts w:hint="eastAsia" w:ascii="Times New Roman" w:hAnsi="Times New Roman" w:eastAsia="仿宋_GB2312" w:cs="Times New Roman"/>
          <w:sz w:val="22"/>
          <w:highlight w:val="none"/>
          <w:lang w:val="en-US" w:eastAsia="zh-CN"/>
        </w:rPr>
      </w:pPr>
    </w:p>
    <w:p w14:paraId="183C45E8">
      <w:pPr>
        <w:rPr>
          <w:rFonts w:hint="eastAsia" w:ascii="Times New Roman" w:hAnsi="Times New Roman" w:eastAsia="仿宋_GB2312" w:cs="Times New Roman"/>
          <w:sz w:val="22"/>
          <w:highlight w:val="none"/>
          <w:lang w:val="en-US" w:eastAsia="zh-CN"/>
        </w:rPr>
      </w:pPr>
    </w:p>
    <w:p w14:paraId="30C2CB5B">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2009C156">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10"/>
        <w:tblW w:w="9941" w:type="dxa"/>
        <w:jc w:val="center"/>
        <w:tblLayout w:type="fixed"/>
        <w:tblCellMar>
          <w:top w:w="0" w:type="dxa"/>
          <w:left w:w="108" w:type="dxa"/>
          <w:bottom w:w="0" w:type="dxa"/>
          <w:right w:w="108" w:type="dxa"/>
        </w:tblCellMar>
      </w:tblPr>
      <w:tblGrid>
        <w:gridCol w:w="745"/>
        <w:gridCol w:w="1174"/>
        <w:gridCol w:w="5000"/>
        <w:gridCol w:w="3022"/>
      </w:tblGrid>
      <w:tr w14:paraId="0FDA9266">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6BFA28B">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1E53F1F7">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7676B866">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71DEE68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3C892418">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0845076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697005A8">
            <w:pPr>
              <w:spacing w:line="300" w:lineRule="exact"/>
              <w:jc w:val="center"/>
              <w:rPr>
                <w:rFonts w:hint="default" w:ascii="Times New Roman" w:hAnsi="Times New Roman" w:eastAsia="仿宋_GB2312" w:cs="Times New Roman"/>
                <w:sz w:val="20"/>
                <w:szCs w:val="20"/>
                <w:highlight w:val="none"/>
              </w:rPr>
            </w:pPr>
          </w:p>
          <w:p w14:paraId="57B1CCCD">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D43FD4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7B9D0D5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3532D595">
            <w:p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1</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印发绩效自评通知的得2分，否则不得分。</w:t>
            </w:r>
          </w:p>
          <w:p w14:paraId="2CD2EE26">
            <w:p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2</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73242159">
            <w:p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绩效自评通知盖章的电子版</w:t>
            </w:r>
          </w:p>
        </w:tc>
      </w:tr>
      <w:tr w14:paraId="495D79A3">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6D4219F9">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A4309D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0885B72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2B145543">
            <w:p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358714B9">
            <w:p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本部门、本单位预算绩效管理领导小组</w:t>
            </w:r>
            <w:r>
              <w:rPr>
                <w:rFonts w:hint="default" w:ascii="Times New Roman" w:hAnsi="Times New Roman" w:eastAsia="仿宋_GB2312" w:cs="Times New Roman"/>
                <w:color w:val="auto"/>
                <w:spacing w:val="0"/>
                <w:sz w:val="20"/>
                <w:szCs w:val="20"/>
                <w:highlight w:val="none"/>
                <w:lang w:val="en-US" w:eastAsia="zh-CN"/>
              </w:rPr>
              <w:t>/</w:t>
            </w:r>
            <w:r>
              <w:rPr>
                <w:rFonts w:hint="default" w:ascii="Times New Roman" w:hAnsi="Times New Roman" w:eastAsia="仿宋_GB2312" w:cs="Times New Roman"/>
                <w:color w:val="auto"/>
                <w:sz w:val="20"/>
                <w:szCs w:val="20"/>
                <w:highlight w:val="none"/>
              </w:rPr>
              <w:t>绩效评价工作小组</w:t>
            </w:r>
            <w:r>
              <w:rPr>
                <w:rFonts w:hint="default" w:ascii="Times New Roman" w:hAnsi="Times New Roman" w:eastAsia="仿宋_GB2312" w:cs="Times New Roman"/>
                <w:color w:val="auto"/>
                <w:sz w:val="20"/>
                <w:szCs w:val="20"/>
                <w:highlight w:val="none"/>
                <w:lang w:eastAsia="zh-CN"/>
              </w:rPr>
              <w:t>有关</w:t>
            </w:r>
            <w:r>
              <w:rPr>
                <w:rFonts w:hint="default" w:ascii="Times New Roman" w:hAnsi="Times New Roman" w:eastAsia="仿宋_GB2312" w:cs="Times New Roman"/>
                <w:color w:val="auto"/>
                <w:spacing w:val="0"/>
                <w:sz w:val="20"/>
                <w:szCs w:val="20"/>
                <w:highlight w:val="none"/>
              </w:rPr>
              <w:t>文件</w:t>
            </w:r>
            <w:r>
              <w:rPr>
                <w:rFonts w:hint="default" w:ascii="Times New Roman" w:hAnsi="Times New Roman" w:eastAsia="仿宋_GB2312" w:cs="Times New Roman"/>
                <w:color w:val="auto"/>
                <w:sz w:val="20"/>
                <w:szCs w:val="20"/>
                <w:highlight w:val="none"/>
              </w:rPr>
              <w:t>盖章的电子版</w:t>
            </w:r>
          </w:p>
        </w:tc>
      </w:tr>
      <w:tr w14:paraId="25ECA8B8">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3D97AEC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71CB59BD">
            <w:pPr>
              <w:spacing w:line="300" w:lineRule="exact"/>
              <w:jc w:val="center"/>
              <w:rPr>
                <w:rFonts w:hint="default" w:ascii="Times New Roman" w:hAnsi="Times New Roman" w:eastAsia="仿宋_GB2312" w:cs="Times New Roman"/>
                <w:sz w:val="20"/>
                <w:szCs w:val="20"/>
                <w:highlight w:val="none"/>
              </w:rPr>
            </w:pPr>
          </w:p>
          <w:p w14:paraId="24A271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7C22A3E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54D35B0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0CFB0EC3">
            <w:pPr>
              <w:spacing w:line="300" w:lineRule="exact"/>
              <w:rPr>
                <w:rFonts w:hint="default"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lang w:eastAsia="zh-CN"/>
              </w:rPr>
              <w:t>区级</w:t>
            </w:r>
            <w:r>
              <w:rPr>
                <w:rFonts w:hint="default" w:ascii="Times New Roman" w:hAnsi="Times New Roman" w:eastAsia="仿宋_GB2312" w:cs="Times New Roman"/>
                <w:color w:val="auto"/>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color w:val="auto"/>
                <w:sz w:val="20"/>
                <w:szCs w:val="20"/>
                <w:highlight w:val="none"/>
                <w:lang w:eastAsia="zh-CN"/>
              </w:rPr>
              <w:t>县、区</w:t>
            </w:r>
            <w:r>
              <w:rPr>
                <w:rFonts w:hint="default" w:ascii="Times New Roman" w:hAnsi="Times New Roman" w:eastAsia="仿宋_GB2312" w:cs="Times New Roman"/>
                <w:color w:val="auto"/>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4C16A50F">
            <w:pPr>
              <w:numPr>
                <w:ilvl w:val="0"/>
                <w:numId w:val="3"/>
              </w:num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转移支付项目单位名称和资</w:t>
            </w:r>
            <w:r>
              <w:rPr>
                <w:rFonts w:hint="eastAsia" w:ascii="Times New Roman" w:hAnsi="Times New Roman" w:eastAsia="仿宋_GB2312" w:cs="Times New Roman"/>
                <w:color w:val="auto"/>
                <w:sz w:val="20"/>
                <w:szCs w:val="20"/>
                <w:highlight w:val="none"/>
                <w:lang w:val="en-US" w:eastAsia="zh-CN"/>
              </w:rPr>
              <w:t xml:space="preserve"> </w:t>
            </w:r>
            <w:r>
              <w:rPr>
                <w:rFonts w:hint="default" w:ascii="Times New Roman" w:hAnsi="Times New Roman" w:eastAsia="仿宋_GB2312" w:cs="Times New Roman"/>
                <w:color w:val="auto"/>
                <w:sz w:val="20"/>
                <w:szCs w:val="20"/>
                <w:highlight w:val="none"/>
              </w:rPr>
              <w:t>金情况清单</w:t>
            </w:r>
          </w:p>
          <w:p w14:paraId="119A33AD">
            <w:pPr>
              <w:numPr>
                <w:ilvl w:val="0"/>
                <w:numId w:val="3"/>
              </w:num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有转移支付资金的各</w:t>
            </w:r>
            <w:r>
              <w:rPr>
                <w:rFonts w:hint="eastAsia" w:ascii="Times New Roman" w:hAnsi="Times New Roman" w:eastAsia="仿宋_GB2312" w:cs="Times New Roman"/>
                <w:color w:val="auto"/>
                <w:sz w:val="20"/>
                <w:szCs w:val="20"/>
                <w:highlight w:val="none"/>
                <w:lang w:eastAsia="zh-CN"/>
              </w:rPr>
              <w:t>县区</w:t>
            </w:r>
            <w:r>
              <w:rPr>
                <w:rFonts w:hint="default" w:ascii="Times New Roman" w:hAnsi="Times New Roman" w:eastAsia="仿宋_GB2312" w:cs="Times New Roman"/>
                <w:color w:val="auto"/>
                <w:sz w:val="20"/>
                <w:szCs w:val="20"/>
                <w:highlight w:val="none"/>
              </w:rPr>
              <w:t>主管部门汇总情况的盖章PDF版　</w:t>
            </w:r>
          </w:p>
        </w:tc>
      </w:tr>
      <w:tr w14:paraId="0777C6C2">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147FAA26">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02D97F8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460103F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4FEE0CB9">
            <w:pPr>
              <w:spacing w:line="300" w:lineRule="exact"/>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按时向</w:t>
            </w:r>
            <w:r>
              <w:rPr>
                <w:rFonts w:hint="eastAsia" w:ascii="Times New Roman" w:hAnsi="Times New Roman" w:eastAsia="仿宋_GB2312" w:cs="Times New Roman"/>
                <w:color w:val="auto"/>
                <w:sz w:val="20"/>
                <w:szCs w:val="20"/>
                <w:highlight w:val="none"/>
                <w:lang w:eastAsia="zh-CN"/>
              </w:rPr>
              <w:t>区财政局</w:t>
            </w:r>
            <w:r>
              <w:rPr>
                <w:rFonts w:hint="default" w:ascii="Times New Roman" w:hAnsi="Times New Roman" w:eastAsia="仿宋_GB2312" w:cs="Times New Roman"/>
                <w:color w:val="auto"/>
                <w:sz w:val="20"/>
                <w:szCs w:val="20"/>
                <w:highlight w:val="none"/>
              </w:rPr>
              <w:t>报送报告的得10分；每推迟一个工作日报送报告的扣1分，最多扣10分。</w:t>
            </w:r>
          </w:p>
        </w:tc>
      </w:tr>
      <w:tr w14:paraId="7C3C16BD">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221ED3E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4B410039">
            <w:pPr>
              <w:spacing w:line="300" w:lineRule="exact"/>
              <w:jc w:val="center"/>
              <w:rPr>
                <w:rFonts w:hint="default" w:ascii="Times New Roman" w:hAnsi="Times New Roman" w:eastAsia="仿宋_GB2312" w:cs="Times New Roman"/>
                <w:sz w:val="20"/>
                <w:szCs w:val="20"/>
                <w:highlight w:val="none"/>
              </w:rPr>
            </w:pPr>
          </w:p>
          <w:p w14:paraId="3AB5670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77A2A59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59222D3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54BE6CD7">
            <w:pPr>
              <w:spacing w:line="240" w:lineRule="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1</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绩效自评报告正文部分内容齐全的，得8分；否则每少一个部分扣2分，最多扣8分。</w:t>
            </w:r>
          </w:p>
          <w:p w14:paraId="38E5FEBF">
            <w:pPr>
              <w:spacing w:line="240" w:lineRule="auto"/>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2</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绩效自评报告附件部分内容齐全的，得7分；否则每少一个部分扣2分，最多扣7分。</w:t>
            </w:r>
          </w:p>
        </w:tc>
      </w:tr>
      <w:tr w14:paraId="2FE998D1">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B33A153">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5794CE2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66B4C26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1764DCB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676CA5E">
            <w:pPr>
              <w:spacing w:line="240" w:lineRule="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color w:val="auto"/>
                <w:sz w:val="20"/>
                <w:szCs w:val="20"/>
                <w:highlight w:val="none"/>
                <w:lang w:eastAsia="zh-CN"/>
              </w:rPr>
              <w:t>岳阳市市级</w:t>
            </w:r>
            <w:r>
              <w:rPr>
                <w:rFonts w:hint="default" w:ascii="Times New Roman" w:hAnsi="Times New Roman" w:eastAsia="仿宋_GB2312" w:cs="Times New Roman"/>
                <w:color w:val="auto"/>
                <w:sz w:val="20"/>
                <w:szCs w:val="20"/>
                <w:highlight w:val="none"/>
              </w:rPr>
              <w:t>预算部门绩效自评操作规程》要求的，得5分，否则按比例扣除相应的分数。</w:t>
            </w:r>
          </w:p>
          <w:p w14:paraId="28141052">
            <w:pPr>
              <w:spacing w:line="240" w:lineRule="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2</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部门整体支出和项目支出绩效指标全部细化到三级指标的，得5分；部分细化的，酌情扣分；没有细化的，不得分。</w:t>
            </w:r>
          </w:p>
          <w:p w14:paraId="07935C20">
            <w:pPr>
              <w:spacing w:line="240" w:lineRule="auto"/>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3</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2A4D3205">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C331E19">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5647CB6">
            <w:pPr>
              <w:jc w:val="center"/>
              <w:rPr>
                <w:rFonts w:hint="default" w:ascii="Times New Roman" w:hAnsi="Times New Roman" w:cs="Times New Roman"/>
                <w:highlight w:val="none"/>
              </w:rPr>
            </w:pPr>
          </w:p>
          <w:p w14:paraId="041FF90E">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74ACDD5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29CADC1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1EB9DBE6">
            <w:pPr>
              <w:spacing w:line="240" w:lineRule="auto"/>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19A1F1EF">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33C6808">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3C23ECF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7A790FE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74C8C00D">
            <w:pPr>
              <w:spacing w:line="240" w:lineRule="auto"/>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建议与问题对应且全面的得15分，建议比较全面的得12—14分，建议不全面的得9—11分，建议过于简单的得6—8分，只提出加大资金投入建议的不得分；其他情况酌情扣分。</w:t>
            </w:r>
          </w:p>
        </w:tc>
      </w:tr>
      <w:tr w14:paraId="79655351">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EAEFE8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CB7DED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244E01B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7D9A365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11B15"/>
    <w:multiLevelType w:val="singleLevel"/>
    <w:tmpl w:val="0E511B15"/>
    <w:lvl w:ilvl="0" w:tentative="0">
      <w:start w:val="1"/>
      <w:numFmt w:val="decimal"/>
      <w:lvlText w:val="%1."/>
      <w:lvlJc w:val="left"/>
      <w:pPr>
        <w:tabs>
          <w:tab w:val="left" w:pos="312"/>
        </w:tabs>
      </w:pPr>
    </w:lvl>
  </w:abstractNum>
  <w:abstractNum w:abstractNumId="1">
    <w:nsid w:val="5DDF8822"/>
    <w:multiLevelType w:val="singleLevel"/>
    <w:tmpl w:val="5DDF8822"/>
    <w:lvl w:ilvl="0" w:tentative="0">
      <w:start w:val="1"/>
      <w:numFmt w:val="decimal"/>
      <w:suff w:val="nothing"/>
      <w:lvlText w:val="%1、"/>
      <w:lvlJc w:val="left"/>
    </w:lvl>
  </w:abstractNum>
  <w:abstractNum w:abstractNumId="2">
    <w:nsid w:val="65FF7AAF"/>
    <w:multiLevelType w:val="singleLevel"/>
    <w:tmpl w:val="65FF7AAF"/>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ODNiNzZiYjM2Y2ExYjMwNTAwMTJkOGQzZjEzZjYifQ=="/>
  </w:docVars>
  <w:rsids>
    <w:rsidRoot w:val="59886344"/>
    <w:rsid w:val="002955FB"/>
    <w:rsid w:val="00917D75"/>
    <w:rsid w:val="020A3985"/>
    <w:rsid w:val="03317CEE"/>
    <w:rsid w:val="03555A65"/>
    <w:rsid w:val="04B10758"/>
    <w:rsid w:val="04F44BA4"/>
    <w:rsid w:val="05ED242D"/>
    <w:rsid w:val="07B0770E"/>
    <w:rsid w:val="08623E4B"/>
    <w:rsid w:val="08F07827"/>
    <w:rsid w:val="0B7C6285"/>
    <w:rsid w:val="0B9E7364"/>
    <w:rsid w:val="0CF32F46"/>
    <w:rsid w:val="0D3C36C5"/>
    <w:rsid w:val="0E7E11F4"/>
    <w:rsid w:val="0F8376CF"/>
    <w:rsid w:val="12491446"/>
    <w:rsid w:val="12614426"/>
    <w:rsid w:val="14451465"/>
    <w:rsid w:val="14974F91"/>
    <w:rsid w:val="14B37760"/>
    <w:rsid w:val="157E709D"/>
    <w:rsid w:val="17FF4F97"/>
    <w:rsid w:val="1A570653"/>
    <w:rsid w:val="1A7E291B"/>
    <w:rsid w:val="1AC76B94"/>
    <w:rsid w:val="1AD85CA1"/>
    <w:rsid w:val="1BF97B40"/>
    <w:rsid w:val="1C9A47BD"/>
    <w:rsid w:val="20BE3578"/>
    <w:rsid w:val="216F1C4A"/>
    <w:rsid w:val="2390615D"/>
    <w:rsid w:val="24F10479"/>
    <w:rsid w:val="252A07C8"/>
    <w:rsid w:val="2613196C"/>
    <w:rsid w:val="26D52A74"/>
    <w:rsid w:val="28753229"/>
    <w:rsid w:val="28ED3EC6"/>
    <w:rsid w:val="29CA429A"/>
    <w:rsid w:val="2A5E1A29"/>
    <w:rsid w:val="2B5841C1"/>
    <w:rsid w:val="2BAB6888"/>
    <w:rsid w:val="2BCB25E9"/>
    <w:rsid w:val="2C5C10D5"/>
    <w:rsid w:val="2CFC6DCE"/>
    <w:rsid w:val="2FD302BA"/>
    <w:rsid w:val="302C20AC"/>
    <w:rsid w:val="30964BCF"/>
    <w:rsid w:val="31697405"/>
    <w:rsid w:val="32506B2A"/>
    <w:rsid w:val="343B5215"/>
    <w:rsid w:val="352A559D"/>
    <w:rsid w:val="35312AA1"/>
    <w:rsid w:val="35352E7D"/>
    <w:rsid w:val="35EE7531"/>
    <w:rsid w:val="36F269B1"/>
    <w:rsid w:val="38325D99"/>
    <w:rsid w:val="3B2837A2"/>
    <w:rsid w:val="3B8052D9"/>
    <w:rsid w:val="3C1664A9"/>
    <w:rsid w:val="3F527F03"/>
    <w:rsid w:val="40E84FAB"/>
    <w:rsid w:val="40FF3D34"/>
    <w:rsid w:val="413C37E5"/>
    <w:rsid w:val="41A90A28"/>
    <w:rsid w:val="41AD15EB"/>
    <w:rsid w:val="41B76D17"/>
    <w:rsid w:val="424567D2"/>
    <w:rsid w:val="43383818"/>
    <w:rsid w:val="43FB5914"/>
    <w:rsid w:val="44D02554"/>
    <w:rsid w:val="45931383"/>
    <w:rsid w:val="45C02DA2"/>
    <w:rsid w:val="465A1CF1"/>
    <w:rsid w:val="46C018D5"/>
    <w:rsid w:val="4830670D"/>
    <w:rsid w:val="486A4335"/>
    <w:rsid w:val="49A4602B"/>
    <w:rsid w:val="4A987CDE"/>
    <w:rsid w:val="4B9B2EEB"/>
    <w:rsid w:val="4BCE14DD"/>
    <w:rsid w:val="4F12306A"/>
    <w:rsid w:val="4F1D1BDE"/>
    <w:rsid w:val="4FE90FDC"/>
    <w:rsid w:val="52607081"/>
    <w:rsid w:val="53C37EB9"/>
    <w:rsid w:val="545D0F38"/>
    <w:rsid w:val="560A1043"/>
    <w:rsid w:val="56703852"/>
    <w:rsid w:val="57E96ED3"/>
    <w:rsid w:val="58217F72"/>
    <w:rsid w:val="590B3945"/>
    <w:rsid w:val="59886344"/>
    <w:rsid w:val="5A01311C"/>
    <w:rsid w:val="5A186477"/>
    <w:rsid w:val="5AC47917"/>
    <w:rsid w:val="5B976BF8"/>
    <w:rsid w:val="5DFD125E"/>
    <w:rsid w:val="5EE44E48"/>
    <w:rsid w:val="61E91EFB"/>
    <w:rsid w:val="6372477E"/>
    <w:rsid w:val="642D7291"/>
    <w:rsid w:val="64C233A4"/>
    <w:rsid w:val="64F93617"/>
    <w:rsid w:val="64FB738F"/>
    <w:rsid w:val="658454F9"/>
    <w:rsid w:val="65CD33FB"/>
    <w:rsid w:val="678E4E6A"/>
    <w:rsid w:val="68B67474"/>
    <w:rsid w:val="699E02E9"/>
    <w:rsid w:val="69E00902"/>
    <w:rsid w:val="6A6B7D31"/>
    <w:rsid w:val="6B371AA7"/>
    <w:rsid w:val="6B6A6129"/>
    <w:rsid w:val="6B8A6D77"/>
    <w:rsid w:val="6BAF4A30"/>
    <w:rsid w:val="6BED6C25"/>
    <w:rsid w:val="6C680DF7"/>
    <w:rsid w:val="6D4E25E2"/>
    <w:rsid w:val="6E10161A"/>
    <w:rsid w:val="6E602D25"/>
    <w:rsid w:val="6EA62086"/>
    <w:rsid w:val="6EDB5E2E"/>
    <w:rsid w:val="6F48195D"/>
    <w:rsid w:val="70864DDD"/>
    <w:rsid w:val="70AF47C1"/>
    <w:rsid w:val="71163800"/>
    <w:rsid w:val="71345F75"/>
    <w:rsid w:val="71C0601E"/>
    <w:rsid w:val="72CB7F4E"/>
    <w:rsid w:val="73AD5FB7"/>
    <w:rsid w:val="742067C7"/>
    <w:rsid w:val="744C1CC9"/>
    <w:rsid w:val="74A470FC"/>
    <w:rsid w:val="76417BE2"/>
    <w:rsid w:val="770D06AF"/>
    <w:rsid w:val="774E07BF"/>
    <w:rsid w:val="776B7494"/>
    <w:rsid w:val="79B3393D"/>
    <w:rsid w:val="7AC02107"/>
    <w:rsid w:val="7AEB4F7C"/>
    <w:rsid w:val="7B043031"/>
    <w:rsid w:val="7C9673F2"/>
    <w:rsid w:val="7FA36621"/>
    <w:rsid w:val="7FE26D2A"/>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4">
    <w:name w:val="Normal Indent"/>
    <w:basedOn w:val="1"/>
    <w:unhideWhenUsed/>
    <w:qFormat/>
    <w:uiPriority w:val="99"/>
    <w:pPr>
      <w:ind w:firstLine="420" w:firstLineChars="200"/>
    </w:pPr>
  </w:style>
  <w:style w:type="paragraph" w:styleId="5">
    <w:name w:val="toa heading"/>
    <w:basedOn w:val="1"/>
    <w:next w:val="1"/>
    <w:qFormat/>
    <w:uiPriority w:val="0"/>
    <w:pPr>
      <w:spacing w:before="120" w:after="200" w:line="276" w:lineRule="auto"/>
    </w:pPr>
    <w:rPr>
      <w:rFonts w:ascii="Arial" w:hAnsi="Arial"/>
      <w:sz w:val="24"/>
      <w:szCs w:val="24"/>
    </w:r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next w:val="1"/>
    <w:qFormat/>
    <w:uiPriority w:val="0"/>
    <w:pPr>
      <w:ind w:firstLine="540"/>
    </w:pPr>
    <w:rPr>
      <w:rFonts w:ascii="Times New Roman" w:hAnsi="Times New Roman" w:eastAsia="宋体" w:cs="Times New Roman"/>
      <w:sz w:val="3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7"/>
    <w:next w:val="1"/>
    <w:qFormat/>
    <w:uiPriority w:val="0"/>
    <w:pPr>
      <w:ind w:firstLine="420" w:firstLineChars="200"/>
    </w:pPr>
  </w:style>
  <w:style w:type="character" w:styleId="12">
    <w:name w:val="Strong"/>
    <w:basedOn w:val="11"/>
    <w:qFormat/>
    <w:uiPriority w:val="0"/>
    <w:rPr>
      <w:b/>
      <w:bCs/>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6679</Words>
  <Characters>7223</Characters>
  <Lines>0</Lines>
  <Paragraphs>0</Paragraphs>
  <TotalTime>4</TotalTime>
  <ScaleCrop>false</ScaleCrop>
  <LinksUpToDate>false</LinksUpToDate>
  <CharactersWithSpaces>7382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陶涛</cp:lastModifiedBy>
  <cp:lastPrinted>2025-05-09T01:43:49Z</cp:lastPrinted>
  <dcterms:modified xsi:type="dcterms:W3CDTF">2025-05-09T01:45:23Z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DD083783842E4AD89C9F5D0F4307661D_13</vt:lpwstr>
  </property>
  <property fmtid="{D5CDD505-2E9C-101B-9397-08002B2CF9AE}" pid="4" name="KSOTemplateDocerSaveRecord">
    <vt:lpwstr>eyJoZGlkIjoiYjUwODNiNzZiYjM2Y2ExYjMwNTAwMTJkOGQzZjEzZjYiLCJ1c2VySWQiOiIxMDQxOTk4NzYyIn0=</vt:lpwstr>
  </property>
</Properties>
</file>