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D1379">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575D249B">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32627ED">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DC06BF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2FB44E2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80C1B1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02262F1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20AC1E43">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86644CF">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24B86B6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w:t>
            </w:r>
          </w:p>
        </w:tc>
        <w:tc>
          <w:tcPr>
            <w:tcW w:w="2240" w:type="dxa"/>
            <w:gridSpan w:val="2"/>
            <w:tcBorders>
              <w:top w:val="single" w:color="auto" w:sz="4" w:space="0"/>
              <w:left w:val="nil"/>
              <w:bottom w:val="single" w:color="auto" w:sz="4" w:space="0"/>
              <w:right w:val="single" w:color="auto" w:sz="4" w:space="0"/>
            </w:tcBorders>
            <w:noWrap w:val="0"/>
            <w:vAlign w:val="center"/>
          </w:tcPr>
          <w:p w14:paraId="7747023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18</w:t>
            </w:r>
          </w:p>
        </w:tc>
        <w:tc>
          <w:tcPr>
            <w:tcW w:w="2041" w:type="dxa"/>
            <w:gridSpan w:val="2"/>
            <w:tcBorders>
              <w:top w:val="single" w:color="auto" w:sz="4" w:space="0"/>
              <w:left w:val="nil"/>
              <w:bottom w:val="single" w:color="auto" w:sz="4" w:space="0"/>
              <w:right w:val="single" w:color="auto" w:sz="4" w:space="0"/>
            </w:tcBorders>
            <w:noWrap w:val="0"/>
            <w:vAlign w:val="center"/>
          </w:tcPr>
          <w:p w14:paraId="74D0DBB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100%</w:t>
            </w:r>
          </w:p>
        </w:tc>
      </w:tr>
      <w:tr w14:paraId="1F1BD58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557622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4DCE6B8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33DD54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1B3F28A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5ABD878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89492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D46401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0.11</w:t>
            </w:r>
          </w:p>
        </w:tc>
        <w:tc>
          <w:tcPr>
            <w:tcW w:w="2240" w:type="dxa"/>
            <w:gridSpan w:val="2"/>
            <w:tcBorders>
              <w:top w:val="single" w:color="auto" w:sz="4" w:space="0"/>
              <w:left w:val="nil"/>
              <w:bottom w:val="single" w:color="auto" w:sz="4" w:space="0"/>
              <w:right w:val="single" w:color="000000" w:sz="4" w:space="0"/>
            </w:tcBorders>
            <w:noWrap w:val="0"/>
            <w:vAlign w:val="center"/>
          </w:tcPr>
          <w:p w14:paraId="1A7B405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0D47C34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1D91B35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D7DE7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F294D6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CDA0277">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33EC9D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2A40620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FC058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0DEB1AB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9E83CC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26840F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2463263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C940B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51EF0D8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bookmarkStart w:id="0" w:name="_GoBack"/>
            <w:bookmarkEnd w:id="0"/>
          </w:p>
        </w:tc>
        <w:tc>
          <w:tcPr>
            <w:tcW w:w="2240" w:type="dxa"/>
            <w:gridSpan w:val="2"/>
            <w:tcBorders>
              <w:top w:val="single" w:color="auto" w:sz="4" w:space="0"/>
              <w:left w:val="nil"/>
              <w:bottom w:val="single" w:color="auto" w:sz="4" w:space="0"/>
              <w:right w:val="single" w:color="000000" w:sz="4" w:space="0"/>
            </w:tcBorders>
            <w:noWrap w:val="0"/>
            <w:vAlign w:val="center"/>
          </w:tcPr>
          <w:p w14:paraId="4B9388D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F48D81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6A16635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8D28DD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A4DA93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E4BF53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C151E8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46273ED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87545E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25B219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0.11</w:t>
            </w:r>
          </w:p>
        </w:tc>
        <w:tc>
          <w:tcPr>
            <w:tcW w:w="2240" w:type="dxa"/>
            <w:gridSpan w:val="2"/>
            <w:tcBorders>
              <w:top w:val="single" w:color="auto" w:sz="4" w:space="0"/>
              <w:left w:val="nil"/>
              <w:bottom w:val="single" w:color="auto" w:sz="4" w:space="0"/>
              <w:right w:val="single" w:color="000000" w:sz="4" w:space="0"/>
            </w:tcBorders>
            <w:noWrap w:val="0"/>
            <w:vAlign w:val="center"/>
          </w:tcPr>
          <w:p w14:paraId="7C7A240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02C8820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4797628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5DB139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DBB337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5222A7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045D40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719116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9C06D2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54E809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908BD9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10EB32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D35B4F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CB139C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790FB2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E37E9E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BFD01A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681F53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21C72B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1E007E14">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9887137">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BE5061B">
            <w:pPr>
              <w:widowControl/>
              <w:spacing w:line="360" w:lineRule="exact"/>
              <w:jc w:val="center"/>
              <w:rPr>
                <w:rFonts w:hint="eastAsia" w:ascii="仿宋_GB2312" w:hAnsi="仿宋_GB2312" w:eastAsia="仿宋_GB2312" w:cs="仿宋_GB2312"/>
                <w:sz w:val="20"/>
                <w:szCs w:val="20"/>
                <w:highlight w:val="none"/>
              </w:rPr>
            </w:pPr>
          </w:p>
        </w:tc>
      </w:tr>
      <w:tr w14:paraId="5ADDBDC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EE2CAA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val="en-US" w:eastAsia="zh-CN"/>
              </w:rPr>
              <w:t>本</w:t>
            </w:r>
            <w:r>
              <w:rPr>
                <w:rFonts w:hint="eastAsia" w:ascii="仿宋_GB2312" w:hAnsi="仿宋_GB2312" w:eastAsia="仿宋_GB2312" w:cs="仿宋_GB2312"/>
                <w:sz w:val="20"/>
                <w:szCs w:val="20"/>
                <w:highlight w:val="none"/>
                <w:lang w:eastAsia="zh-CN"/>
              </w:rPr>
              <w:t>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6AEC5C6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112.9</w:t>
            </w:r>
          </w:p>
        </w:tc>
        <w:tc>
          <w:tcPr>
            <w:tcW w:w="2240" w:type="dxa"/>
            <w:gridSpan w:val="2"/>
            <w:tcBorders>
              <w:top w:val="single" w:color="auto" w:sz="4" w:space="0"/>
              <w:left w:val="nil"/>
              <w:bottom w:val="single" w:color="auto" w:sz="4" w:space="0"/>
              <w:right w:val="single" w:color="000000" w:sz="4" w:space="0"/>
            </w:tcBorders>
            <w:noWrap w:val="0"/>
            <w:vAlign w:val="center"/>
          </w:tcPr>
          <w:p w14:paraId="2ED9258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100.8</w:t>
            </w:r>
          </w:p>
        </w:tc>
        <w:tc>
          <w:tcPr>
            <w:tcW w:w="2041" w:type="dxa"/>
            <w:gridSpan w:val="2"/>
            <w:tcBorders>
              <w:top w:val="single" w:color="auto" w:sz="4" w:space="0"/>
              <w:left w:val="nil"/>
              <w:bottom w:val="single" w:color="auto" w:sz="4" w:space="0"/>
              <w:right w:val="single" w:color="000000" w:sz="4" w:space="0"/>
            </w:tcBorders>
            <w:noWrap w:val="0"/>
            <w:vAlign w:val="center"/>
          </w:tcPr>
          <w:p w14:paraId="56FCF8C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100.8</w:t>
            </w:r>
          </w:p>
        </w:tc>
      </w:tr>
      <w:tr w14:paraId="08C09F3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C2AF7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AD563A1">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EE1C560">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7906C98">
            <w:pPr>
              <w:widowControl/>
              <w:spacing w:line="360" w:lineRule="exact"/>
              <w:jc w:val="center"/>
              <w:rPr>
                <w:rFonts w:hint="eastAsia" w:ascii="仿宋_GB2312" w:hAnsi="仿宋_GB2312" w:eastAsia="仿宋_GB2312" w:cs="仿宋_GB2312"/>
                <w:sz w:val="20"/>
                <w:szCs w:val="20"/>
                <w:highlight w:val="none"/>
              </w:rPr>
            </w:pPr>
          </w:p>
        </w:tc>
      </w:tr>
      <w:tr w14:paraId="14E1E0E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3177C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C54E6C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30.91</w:t>
            </w:r>
          </w:p>
        </w:tc>
        <w:tc>
          <w:tcPr>
            <w:tcW w:w="2240" w:type="dxa"/>
            <w:gridSpan w:val="2"/>
            <w:tcBorders>
              <w:top w:val="single" w:color="auto" w:sz="4" w:space="0"/>
              <w:left w:val="nil"/>
              <w:bottom w:val="single" w:color="auto" w:sz="4" w:space="0"/>
              <w:right w:val="single" w:color="000000" w:sz="4" w:space="0"/>
            </w:tcBorders>
            <w:noWrap w:val="0"/>
            <w:vAlign w:val="center"/>
          </w:tcPr>
          <w:p w14:paraId="4736DAE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37.6</w:t>
            </w:r>
          </w:p>
        </w:tc>
        <w:tc>
          <w:tcPr>
            <w:tcW w:w="2041" w:type="dxa"/>
            <w:gridSpan w:val="2"/>
            <w:tcBorders>
              <w:top w:val="single" w:color="auto" w:sz="4" w:space="0"/>
              <w:left w:val="nil"/>
              <w:bottom w:val="single" w:color="auto" w:sz="4" w:space="0"/>
              <w:right w:val="single" w:color="000000" w:sz="4" w:space="0"/>
            </w:tcBorders>
            <w:noWrap w:val="0"/>
            <w:vAlign w:val="center"/>
          </w:tcPr>
          <w:p w14:paraId="3C768BB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34.06</w:t>
            </w:r>
            <w:r>
              <w:rPr>
                <w:rFonts w:hint="eastAsia" w:ascii="仿宋_GB2312" w:hAnsi="仿宋_GB2312" w:eastAsia="仿宋_GB2312" w:cs="仿宋_GB2312"/>
                <w:sz w:val="20"/>
                <w:szCs w:val="20"/>
                <w:highlight w:val="none"/>
              </w:rPr>
              <w:t>　</w:t>
            </w:r>
          </w:p>
        </w:tc>
      </w:tr>
      <w:tr w14:paraId="021939D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EFD8B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17408A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5.86</w:t>
            </w:r>
          </w:p>
        </w:tc>
        <w:tc>
          <w:tcPr>
            <w:tcW w:w="2240" w:type="dxa"/>
            <w:gridSpan w:val="2"/>
            <w:tcBorders>
              <w:top w:val="single" w:color="auto" w:sz="4" w:space="0"/>
              <w:left w:val="nil"/>
              <w:bottom w:val="single" w:color="auto" w:sz="4" w:space="0"/>
              <w:right w:val="single" w:color="000000" w:sz="4" w:space="0"/>
            </w:tcBorders>
            <w:noWrap w:val="0"/>
            <w:vAlign w:val="center"/>
          </w:tcPr>
          <w:p w14:paraId="522E2B91">
            <w:pPr>
              <w:widowControl/>
              <w:spacing w:line="360" w:lineRule="exact"/>
              <w:jc w:val="center"/>
              <w:rPr>
                <w:rFonts w:hint="eastAsia"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FF0000"/>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51138A6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4.62　</w:t>
            </w:r>
          </w:p>
        </w:tc>
      </w:tr>
      <w:tr w14:paraId="51282BF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FEDB9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B9DCF9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374FBB3">
            <w:pPr>
              <w:widowControl/>
              <w:spacing w:line="360" w:lineRule="exact"/>
              <w:jc w:val="center"/>
              <w:rPr>
                <w:rFonts w:hint="eastAsia"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FF0000"/>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4CCF338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0.98　</w:t>
            </w:r>
          </w:p>
        </w:tc>
      </w:tr>
      <w:tr w14:paraId="2E4A814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51B94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2652DE34">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0</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662DE83">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0</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1EB3589">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　</w:t>
            </w:r>
          </w:p>
        </w:tc>
      </w:tr>
      <w:tr w14:paraId="3316C9D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EE206F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7B0F488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21.74</w:t>
            </w:r>
          </w:p>
        </w:tc>
        <w:tc>
          <w:tcPr>
            <w:tcW w:w="2240" w:type="dxa"/>
            <w:gridSpan w:val="2"/>
            <w:tcBorders>
              <w:top w:val="single" w:color="auto" w:sz="4" w:space="0"/>
              <w:left w:val="nil"/>
              <w:bottom w:val="single" w:color="auto" w:sz="4" w:space="0"/>
              <w:right w:val="single" w:color="000000" w:sz="4" w:space="0"/>
            </w:tcBorders>
            <w:noWrap w:val="0"/>
            <w:vAlign w:val="center"/>
          </w:tcPr>
          <w:p w14:paraId="6BB103F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106.74</w:t>
            </w:r>
          </w:p>
        </w:tc>
        <w:tc>
          <w:tcPr>
            <w:tcW w:w="2041" w:type="dxa"/>
            <w:gridSpan w:val="2"/>
            <w:tcBorders>
              <w:top w:val="single" w:color="auto" w:sz="4" w:space="0"/>
              <w:left w:val="nil"/>
              <w:bottom w:val="single" w:color="auto" w:sz="4" w:space="0"/>
              <w:right w:val="single" w:color="000000" w:sz="4" w:space="0"/>
            </w:tcBorders>
            <w:noWrap w:val="0"/>
            <w:vAlign w:val="center"/>
          </w:tcPr>
          <w:p w14:paraId="2178D62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106.74</w:t>
            </w:r>
            <w:r>
              <w:rPr>
                <w:rFonts w:hint="eastAsia" w:ascii="仿宋_GB2312" w:hAnsi="仿宋_GB2312" w:eastAsia="仿宋_GB2312" w:cs="仿宋_GB2312"/>
                <w:sz w:val="20"/>
                <w:szCs w:val="20"/>
                <w:highlight w:val="none"/>
              </w:rPr>
              <w:t>　</w:t>
            </w:r>
          </w:p>
        </w:tc>
      </w:tr>
      <w:tr w14:paraId="157442D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D0C626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5462F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248E96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B6739B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0688E39">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4F84E3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0B77419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474653B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68033AE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0E055E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358B6B9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0D5878B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278E7318">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6B674012">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49A2E54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5787E1A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0BFC23A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7DCACBF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2BF44B6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1C816ED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BD38A2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D0FC7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664B051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严格控制“三公”经费，“三公”经费较去年下降100%</w:t>
            </w:r>
          </w:p>
        </w:tc>
      </w:tr>
    </w:tbl>
    <w:p w14:paraId="62F1EF3D">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37E9951F">
      <w:pPr>
        <w:widowControl/>
        <w:spacing w:afterLines="0" w:line="400" w:lineRule="exact"/>
        <w:jc w:val="left"/>
        <w:rPr>
          <w:rFonts w:hint="default" w:ascii="Times New Roman" w:hAnsi="Times New Roman" w:eastAsia="仿宋_GB2312" w:cs="Times New Roman"/>
          <w:sz w:val="22"/>
          <w:highlight w:val="none"/>
        </w:rPr>
      </w:pPr>
    </w:p>
    <w:p w14:paraId="2C19AF44">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6C55C6AB">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185B0A92">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080DE8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2E569E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岳阳市君山区审计局</w:t>
            </w:r>
            <w:r>
              <w:rPr>
                <w:rFonts w:hint="eastAsia" w:ascii="仿宋_GB2312" w:hAnsi="仿宋_GB2312" w:eastAsia="仿宋_GB2312" w:cs="仿宋_GB2312"/>
                <w:color w:val="000000"/>
                <w:sz w:val="20"/>
                <w:szCs w:val="20"/>
                <w:highlight w:val="none"/>
              </w:rPr>
              <w:t>　</w:t>
            </w:r>
          </w:p>
        </w:tc>
      </w:tr>
      <w:tr w14:paraId="0D9DC4D6">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B3E893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5FDB3E9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5F125861">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71EA8F2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44A9ABB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0041265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367D3C3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1D0136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2AF4AAB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8FB6EF5">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1EEBB668">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1C387EE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03F84EF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437.75</w:t>
            </w:r>
          </w:p>
        </w:tc>
        <w:tc>
          <w:tcPr>
            <w:tcW w:w="1311" w:type="dxa"/>
            <w:tcBorders>
              <w:top w:val="nil"/>
              <w:left w:val="nil"/>
              <w:bottom w:val="single" w:color="auto" w:sz="4" w:space="0"/>
              <w:right w:val="single" w:color="auto" w:sz="4" w:space="0"/>
            </w:tcBorders>
            <w:noWrap w:val="0"/>
            <w:vAlign w:val="center"/>
          </w:tcPr>
          <w:p w14:paraId="7B901883">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506.46</w:t>
            </w:r>
          </w:p>
        </w:tc>
        <w:tc>
          <w:tcPr>
            <w:tcW w:w="1269" w:type="dxa"/>
            <w:tcBorders>
              <w:top w:val="nil"/>
              <w:left w:val="nil"/>
              <w:bottom w:val="single" w:color="auto" w:sz="4" w:space="0"/>
              <w:right w:val="single" w:color="auto" w:sz="4" w:space="0"/>
            </w:tcBorders>
            <w:noWrap w:val="0"/>
            <w:vAlign w:val="center"/>
          </w:tcPr>
          <w:p w14:paraId="3EC122A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477.04</w:t>
            </w:r>
          </w:p>
        </w:tc>
        <w:tc>
          <w:tcPr>
            <w:tcW w:w="716" w:type="dxa"/>
            <w:tcBorders>
              <w:top w:val="nil"/>
              <w:left w:val="nil"/>
              <w:bottom w:val="single" w:color="auto" w:sz="4" w:space="0"/>
              <w:right w:val="single" w:color="auto" w:sz="4" w:space="0"/>
            </w:tcBorders>
            <w:noWrap w:val="0"/>
            <w:vAlign w:val="center"/>
          </w:tcPr>
          <w:p w14:paraId="406DE9F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15DE3877">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94.19%</w:t>
            </w:r>
          </w:p>
        </w:tc>
        <w:tc>
          <w:tcPr>
            <w:tcW w:w="1446" w:type="dxa"/>
            <w:tcBorders>
              <w:top w:val="nil"/>
              <w:left w:val="nil"/>
              <w:bottom w:val="single" w:color="auto" w:sz="4" w:space="0"/>
              <w:right w:val="single" w:color="auto" w:sz="4" w:space="0"/>
            </w:tcBorders>
            <w:noWrap w:val="0"/>
            <w:vAlign w:val="center"/>
          </w:tcPr>
          <w:p w14:paraId="72B3374A">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9.42</w:t>
            </w:r>
          </w:p>
        </w:tc>
      </w:tr>
      <w:tr w14:paraId="08F16F2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8B9025">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051D50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63914F7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0810495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9C84EA">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7A001F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其中：  一般公共预算：</w:t>
            </w:r>
          </w:p>
        </w:tc>
        <w:tc>
          <w:tcPr>
            <w:tcW w:w="4304" w:type="dxa"/>
            <w:gridSpan w:val="4"/>
            <w:tcBorders>
              <w:top w:val="nil"/>
              <w:left w:val="nil"/>
              <w:bottom w:val="single" w:color="auto" w:sz="4" w:space="0"/>
              <w:right w:val="single" w:color="auto" w:sz="4" w:space="0"/>
            </w:tcBorders>
            <w:noWrap w:val="0"/>
            <w:vAlign w:val="center"/>
          </w:tcPr>
          <w:p w14:paraId="3D264785">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310.09</w:t>
            </w:r>
          </w:p>
        </w:tc>
      </w:tr>
      <w:tr w14:paraId="5DB22F3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4804A5">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2ABF101">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41C6FFE4">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166.94</w:t>
            </w:r>
          </w:p>
        </w:tc>
      </w:tr>
      <w:tr w14:paraId="29729A9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3FD75A">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AF29D8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3CDF0615">
            <w:pPr>
              <w:widowControl/>
              <w:spacing w:line="240" w:lineRule="exact"/>
              <w:jc w:val="left"/>
              <w:rPr>
                <w:rFonts w:hint="eastAsia" w:ascii="仿宋_GB2312" w:hAnsi="仿宋_GB2312" w:eastAsia="仿宋_GB2312" w:cs="仿宋_GB2312"/>
                <w:color w:val="000000"/>
                <w:sz w:val="20"/>
                <w:szCs w:val="20"/>
                <w:highlight w:val="none"/>
              </w:rPr>
            </w:pPr>
          </w:p>
        </w:tc>
      </w:tr>
      <w:tr w14:paraId="3255214F">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617392A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0B4E6BD">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14:paraId="3F2DAA7F">
            <w:pPr>
              <w:widowControl/>
              <w:spacing w:line="240" w:lineRule="exact"/>
              <w:jc w:val="left"/>
              <w:rPr>
                <w:rFonts w:hint="eastAsia" w:ascii="仿宋_GB2312" w:hAnsi="仿宋_GB2312" w:eastAsia="仿宋_GB2312" w:cs="仿宋_GB2312"/>
                <w:color w:val="000000"/>
                <w:sz w:val="20"/>
                <w:szCs w:val="20"/>
                <w:highlight w:val="none"/>
              </w:rPr>
            </w:pPr>
          </w:p>
        </w:tc>
      </w:tr>
      <w:tr w14:paraId="4C4AA04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5ED89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5747DD4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5850D07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68F6D6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F1CA27A">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top"/>
          </w:tcPr>
          <w:p w14:paraId="4F236970">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严格按照年初项目计划推进审计项目，完成各类审计及审计调查项目。　强化对资金使用情况的预算约束和监管，依法履行审计监督职责，最大限度地降低行政成本，提高财政资金的使用效益。　</w:t>
            </w:r>
          </w:p>
        </w:tc>
        <w:tc>
          <w:tcPr>
            <w:tcW w:w="4304" w:type="dxa"/>
            <w:gridSpan w:val="4"/>
            <w:tcBorders>
              <w:top w:val="single" w:color="auto" w:sz="4" w:space="0"/>
              <w:left w:val="nil"/>
              <w:bottom w:val="single" w:color="auto" w:sz="4" w:space="0"/>
              <w:right w:val="single" w:color="auto" w:sz="4" w:space="0"/>
            </w:tcBorders>
            <w:noWrap w:val="0"/>
            <w:vAlign w:val="center"/>
          </w:tcPr>
          <w:p w14:paraId="20494E6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围绕完善政府预算管理，加强</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财政资金审</w:t>
            </w:r>
            <w:r>
              <w:rPr>
                <w:rFonts w:hint="eastAsia" w:ascii="仿宋_GB2312" w:hAnsi="仿宋_GB2312" w:eastAsia="仿宋_GB2312" w:cs="仿宋_GB2312"/>
                <w:color w:val="000000"/>
                <w:sz w:val="20"/>
                <w:szCs w:val="20"/>
                <w:highlight w:val="none"/>
                <w:lang w:eastAsia="zh-CN"/>
              </w:rPr>
              <w:t>计，围绕领导干部权力运行，积极实施了经济责任审计。围绕提高投资效益，加强了政府投资审计，主动推进了其他各项工作。积极贯彻落实厉行节约。</w:t>
            </w:r>
          </w:p>
        </w:tc>
      </w:tr>
      <w:tr w14:paraId="720F652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D61ECF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5F322F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172154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93E58E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491A7128">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1B9C6FA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3B49170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303F7E3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293DAC35">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1D95A36A">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2B493B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FCBCD0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745B3F82">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60E18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E87FA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3B963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D3FAAE9">
            <w:pPr>
              <w:widowControl/>
              <w:spacing w:line="240" w:lineRule="exact"/>
              <w:jc w:val="center"/>
              <w:rPr>
                <w:rFonts w:hint="eastAsia" w:ascii="仿宋_GB2312" w:hAnsi="仿宋_GB2312" w:eastAsia="仿宋_GB2312" w:cs="仿宋_GB2312"/>
                <w:color w:val="000000"/>
                <w:sz w:val="20"/>
                <w:szCs w:val="20"/>
                <w:highlight w:val="none"/>
              </w:rPr>
            </w:pPr>
          </w:p>
          <w:p w14:paraId="2B719B3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3AC396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1B208B64">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审计政府投资项目数</w:t>
            </w:r>
          </w:p>
        </w:tc>
        <w:tc>
          <w:tcPr>
            <w:tcW w:w="1311" w:type="dxa"/>
            <w:tcBorders>
              <w:top w:val="nil"/>
              <w:left w:val="nil"/>
              <w:bottom w:val="single" w:color="auto" w:sz="4" w:space="0"/>
              <w:right w:val="single" w:color="auto" w:sz="4" w:space="0"/>
            </w:tcBorders>
            <w:noWrap w:val="0"/>
            <w:vAlign w:val="center"/>
          </w:tcPr>
          <w:p w14:paraId="15F30868">
            <w:pPr>
              <w:keepNext w:val="0"/>
              <w:keepLines w:val="0"/>
              <w:widowControl/>
              <w:suppressLineNumbers w:val="0"/>
              <w:jc w:val="center"/>
              <w:textAlignment w:val="center"/>
              <w:rPr>
                <w:rFonts w:hint="default" w:ascii="仿宋" w:hAnsi="仿宋" w:eastAsia="仿宋" w:cs="仿宋"/>
                <w:color w:val="000000"/>
                <w:sz w:val="20"/>
                <w:szCs w:val="20"/>
                <w:highlight w:val="none"/>
                <w:lang w:val="en-US"/>
              </w:rPr>
            </w:pPr>
            <w:r>
              <w:rPr>
                <w:rFonts w:hint="eastAsia" w:eastAsia="仿宋" w:cs="仿宋"/>
                <w:i w:val="0"/>
                <w:iCs w:val="0"/>
                <w:color w:val="000000"/>
                <w:kern w:val="0"/>
                <w:sz w:val="24"/>
                <w:szCs w:val="24"/>
                <w:u w:val="none"/>
                <w:lang w:val="en-US" w:eastAsia="zh-CN" w:bidi="ar"/>
              </w:rPr>
              <w:t>4个</w:t>
            </w:r>
          </w:p>
        </w:tc>
        <w:tc>
          <w:tcPr>
            <w:tcW w:w="1269" w:type="dxa"/>
            <w:tcBorders>
              <w:top w:val="nil"/>
              <w:left w:val="nil"/>
              <w:bottom w:val="single" w:color="auto" w:sz="4" w:space="0"/>
              <w:right w:val="single" w:color="auto" w:sz="4" w:space="0"/>
            </w:tcBorders>
            <w:noWrap w:val="0"/>
            <w:vAlign w:val="center"/>
          </w:tcPr>
          <w:p w14:paraId="6C36A37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eastAsia="仿宋" w:cs="仿宋"/>
                <w:i w:val="0"/>
                <w:iCs w:val="0"/>
                <w:color w:val="000000"/>
                <w:kern w:val="0"/>
                <w:sz w:val="24"/>
                <w:szCs w:val="24"/>
                <w:u w:val="none"/>
                <w:lang w:val="en-US" w:eastAsia="zh-CN" w:bidi="ar"/>
              </w:rPr>
              <w:t>4个</w:t>
            </w:r>
          </w:p>
        </w:tc>
        <w:tc>
          <w:tcPr>
            <w:tcW w:w="716" w:type="dxa"/>
            <w:tcBorders>
              <w:top w:val="nil"/>
              <w:left w:val="nil"/>
              <w:bottom w:val="single" w:color="auto" w:sz="4" w:space="0"/>
              <w:right w:val="single" w:color="auto" w:sz="4" w:space="0"/>
            </w:tcBorders>
            <w:noWrap w:val="0"/>
            <w:vAlign w:val="center"/>
          </w:tcPr>
          <w:p w14:paraId="30C22ED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8136C3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7337629A">
            <w:pPr>
              <w:widowControl/>
              <w:spacing w:line="240" w:lineRule="exact"/>
              <w:jc w:val="center"/>
              <w:rPr>
                <w:rFonts w:hint="eastAsia" w:ascii="仿宋_GB2312" w:hAnsi="仿宋_GB2312" w:eastAsia="仿宋_GB2312" w:cs="仿宋_GB2312"/>
                <w:color w:val="000000"/>
                <w:sz w:val="20"/>
                <w:szCs w:val="20"/>
                <w:highlight w:val="none"/>
              </w:rPr>
            </w:pPr>
          </w:p>
        </w:tc>
      </w:tr>
      <w:tr w14:paraId="2D645C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F4FBC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17B5A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C1D354F">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2820AA6">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自然资源审计项目</w:t>
            </w:r>
          </w:p>
        </w:tc>
        <w:tc>
          <w:tcPr>
            <w:tcW w:w="1311" w:type="dxa"/>
            <w:tcBorders>
              <w:top w:val="nil"/>
              <w:left w:val="nil"/>
              <w:bottom w:val="single" w:color="auto" w:sz="4" w:space="0"/>
              <w:right w:val="single" w:color="auto" w:sz="4" w:space="0"/>
            </w:tcBorders>
            <w:noWrap w:val="0"/>
            <w:vAlign w:val="center"/>
          </w:tcPr>
          <w:p w14:paraId="2F82D8C6">
            <w:pPr>
              <w:keepNext w:val="0"/>
              <w:keepLines w:val="0"/>
              <w:widowControl/>
              <w:suppressLineNumbers w:val="0"/>
              <w:jc w:val="center"/>
              <w:textAlignment w:val="center"/>
              <w:rPr>
                <w:rFonts w:hint="default"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1</w:t>
            </w:r>
            <w:r>
              <w:rPr>
                <w:rFonts w:hint="eastAsia" w:eastAsia="仿宋" w:cs="仿宋"/>
                <w:color w:val="000000"/>
                <w:sz w:val="20"/>
                <w:szCs w:val="20"/>
                <w:highlight w:val="none"/>
                <w:lang w:val="en-US" w:eastAsia="zh-CN"/>
              </w:rPr>
              <w:t>个</w:t>
            </w:r>
          </w:p>
        </w:tc>
        <w:tc>
          <w:tcPr>
            <w:tcW w:w="1269" w:type="dxa"/>
            <w:tcBorders>
              <w:top w:val="nil"/>
              <w:left w:val="nil"/>
              <w:bottom w:val="single" w:color="auto" w:sz="4" w:space="0"/>
              <w:right w:val="single" w:color="auto" w:sz="4" w:space="0"/>
            </w:tcBorders>
            <w:noWrap w:val="0"/>
            <w:vAlign w:val="center"/>
          </w:tcPr>
          <w:p w14:paraId="089706B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1</w:t>
            </w:r>
            <w:r>
              <w:rPr>
                <w:rFonts w:hint="eastAsia" w:eastAsia="仿宋" w:cs="仿宋"/>
                <w:color w:val="000000"/>
                <w:sz w:val="20"/>
                <w:szCs w:val="20"/>
                <w:highlight w:val="none"/>
                <w:lang w:val="en-US" w:eastAsia="zh-CN"/>
              </w:rPr>
              <w:t>个</w:t>
            </w:r>
          </w:p>
        </w:tc>
        <w:tc>
          <w:tcPr>
            <w:tcW w:w="716" w:type="dxa"/>
            <w:tcBorders>
              <w:top w:val="nil"/>
              <w:left w:val="nil"/>
              <w:bottom w:val="single" w:color="auto" w:sz="4" w:space="0"/>
              <w:right w:val="single" w:color="auto" w:sz="4" w:space="0"/>
            </w:tcBorders>
            <w:noWrap w:val="0"/>
            <w:vAlign w:val="center"/>
          </w:tcPr>
          <w:p w14:paraId="4DA94FA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5745DA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6178226">
            <w:pPr>
              <w:widowControl/>
              <w:spacing w:line="240" w:lineRule="exact"/>
              <w:jc w:val="center"/>
              <w:rPr>
                <w:rFonts w:hint="eastAsia" w:ascii="仿宋_GB2312" w:hAnsi="仿宋_GB2312" w:eastAsia="仿宋_GB2312" w:cs="仿宋_GB2312"/>
                <w:color w:val="000000"/>
                <w:sz w:val="20"/>
                <w:szCs w:val="20"/>
                <w:highlight w:val="none"/>
              </w:rPr>
            </w:pPr>
          </w:p>
        </w:tc>
      </w:tr>
      <w:tr w14:paraId="1ED2813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77A6B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D8F83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48AB9E8">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35E2908">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财政同级审项目</w:t>
            </w:r>
          </w:p>
        </w:tc>
        <w:tc>
          <w:tcPr>
            <w:tcW w:w="1311" w:type="dxa"/>
            <w:tcBorders>
              <w:top w:val="nil"/>
              <w:left w:val="nil"/>
              <w:bottom w:val="single" w:color="auto" w:sz="4" w:space="0"/>
              <w:right w:val="single" w:color="auto" w:sz="4" w:space="0"/>
            </w:tcBorders>
            <w:noWrap w:val="0"/>
            <w:vAlign w:val="center"/>
          </w:tcPr>
          <w:p w14:paraId="524BA816">
            <w:pPr>
              <w:keepNext w:val="0"/>
              <w:keepLines w:val="0"/>
              <w:widowControl/>
              <w:suppressLineNumbers w:val="0"/>
              <w:jc w:val="center"/>
              <w:textAlignment w:val="center"/>
              <w:rPr>
                <w:rFonts w:hint="default" w:ascii="仿宋" w:hAnsi="仿宋" w:eastAsia="仿宋" w:cs="仿宋"/>
                <w:color w:val="000000"/>
                <w:sz w:val="20"/>
                <w:szCs w:val="20"/>
                <w:highlight w:val="none"/>
                <w:lang w:val="en-US"/>
              </w:rPr>
            </w:pPr>
            <w:r>
              <w:rPr>
                <w:rFonts w:hint="eastAsia" w:ascii="仿宋" w:hAnsi="仿宋" w:eastAsia="仿宋" w:cs="仿宋"/>
                <w:i w:val="0"/>
                <w:iCs w:val="0"/>
                <w:color w:val="000000"/>
                <w:kern w:val="0"/>
                <w:sz w:val="24"/>
                <w:szCs w:val="24"/>
                <w:u w:val="none"/>
                <w:lang w:val="en-US" w:eastAsia="zh-CN" w:bidi="ar"/>
              </w:rPr>
              <w:t>3</w:t>
            </w:r>
            <w:r>
              <w:rPr>
                <w:rFonts w:hint="eastAsia" w:eastAsia="仿宋" w:cs="仿宋"/>
                <w:i w:val="0"/>
                <w:iCs w:val="0"/>
                <w:color w:val="000000"/>
                <w:kern w:val="0"/>
                <w:sz w:val="24"/>
                <w:szCs w:val="24"/>
                <w:u w:val="none"/>
                <w:lang w:val="en-US" w:eastAsia="zh-CN" w:bidi="ar"/>
              </w:rPr>
              <w:t>个</w:t>
            </w:r>
          </w:p>
        </w:tc>
        <w:tc>
          <w:tcPr>
            <w:tcW w:w="1269" w:type="dxa"/>
            <w:tcBorders>
              <w:top w:val="nil"/>
              <w:left w:val="nil"/>
              <w:bottom w:val="single" w:color="auto" w:sz="4" w:space="0"/>
              <w:right w:val="single" w:color="auto" w:sz="4" w:space="0"/>
            </w:tcBorders>
            <w:noWrap w:val="0"/>
            <w:vAlign w:val="center"/>
          </w:tcPr>
          <w:p w14:paraId="03721F2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 w:hAnsi="仿宋" w:eastAsia="仿宋" w:cs="仿宋"/>
                <w:i w:val="0"/>
                <w:iCs w:val="0"/>
                <w:color w:val="000000"/>
                <w:kern w:val="0"/>
                <w:sz w:val="24"/>
                <w:szCs w:val="24"/>
                <w:u w:val="none"/>
                <w:lang w:val="en-US" w:eastAsia="zh-CN" w:bidi="ar"/>
              </w:rPr>
              <w:t>3</w:t>
            </w:r>
            <w:r>
              <w:rPr>
                <w:rFonts w:hint="eastAsia" w:eastAsia="仿宋" w:cs="仿宋"/>
                <w:i w:val="0"/>
                <w:iCs w:val="0"/>
                <w:color w:val="000000"/>
                <w:kern w:val="0"/>
                <w:sz w:val="24"/>
                <w:szCs w:val="24"/>
                <w:u w:val="none"/>
                <w:lang w:val="en-US" w:eastAsia="zh-CN" w:bidi="ar"/>
              </w:rPr>
              <w:t>个</w:t>
            </w:r>
          </w:p>
        </w:tc>
        <w:tc>
          <w:tcPr>
            <w:tcW w:w="716" w:type="dxa"/>
            <w:tcBorders>
              <w:top w:val="nil"/>
              <w:left w:val="nil"/>
              <w:bottom w:val="single" w:color="auto" w:sz="4" w:space="0"/>
              <w:right w:val="single" w:color="auto" w:sz="4" w:space="0"/>
            </w:tcBorders>
            <w:noWrap w:val="0"/>
            <w:vAlign w:val="center"/>
          </w:tcPr>
          <w:p w14:paraId="2A4E22A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2374DD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60B7FCE2">
            <w:pPr>
              <w:widowControl/>
              <w:spacing w:line="240" w:lineRule="exact"/>
              <w:jc w:val="center"/>
              <w:rPr>
                <w:rFonts w:hint="eastAsia" w:ascii="仿宋_GB2312" w:hAnsi="仿宋_GB2312" w:eastAsia="仿宋_GB2312" w:cs="仿宋_GB2312"/>
                <w:color w:val="000000"/>
                <w:sz w:val="20"/>
                <w:szCs w:val="20"/>
                <w:highlight w:val="none"/>
              </w:rPr>
            </w:pPr>
          </w:p>
        </w:tc>
      </w:tr>
      <w:tr w14:paraId="6BB8C0F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B0CBB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AB957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268AF9C">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02ECFF6">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经济责任审计项目</w:t>
            </w:r>
          </w:p>
        </w:tc>
        <w:tc>
          <w:tcPr>
            <w:tcW w:w="1311" w:type="dxa"/>
            <w:tcBorders>
              <w:top w:val="nil"/>
              <w:left w:val="nil"/>
              <w:bottom w:val="single" w:color="auto" w:sz="4" w:space="0"/>
              <w:right w:val="single" w:color="auto" w:sz="4" w:space="0"/>
            </w:tcBorders>
            <w:noWrap w:val="0"/>
            <w:vAlign w:val="center"/>
          </w:tcPr>
          <w:p w14:paraId="678CAE4B">
            <w:pPr>
              <w:keepNext w:val="0"/>
              <w:keepLines w:val="0"/>
              <w:widowControl/>
              <w:suppressLineNumbers w:val="0"/>
              <w:jc w:val="center"/>
              <w:textAlignment w:val="center"/>
              <w:rPr>
                <w:rFonts w:hint="default" w:ascii="仿宋" w:hAnsi="仿宋" w:eastAsia="仿宋" w:cs="仿宋"/>
                <w:color w:val="000000"/>
                <w:sz w:val="20"/>
                <w:szCs w:val="20"/>
                <w:highlight w:val="none"/>
                <w:lang w:val="en-US"/>
              </w:rPr>
            </w:pPr>
            <w:r>
              <w:rPr>
                <w:rFonts w:hint="eastAsia" w:ascii="仿宋" w:hAnsi="仿宋" w:eastAsia="仿宋" w:cs="仿宋"/>
                <w:i w:val="0"/>
                <w:iCs w:val="0"/>
                <w:color w:val="000000"/>
                <w:kern w:val="0"/>
                <w:sz w:val="24"/>
                <w:szCs w:val="24"/>
                <w:u w:val="none"/>
                <w:lang w:val="en-US" w:eastAsia="zh-CN" w:bidi="ar"/>
              </w:rPr>
              <w:t>6</w:t>
            </w:r>
            <w:r>
              <w:rPr>
                <w:rFonts w:hint="eastAsia" w:eastAsia="仿宋" w:cs="仿宋"/>
                <w:i w:val="0"/>
                <w:iCs w:val="0"/>
                <w:color w:val="000000"/>
                <w:kern w:val="0"/>
                <w:sz w:val="24"/>
                <w:szCs w:val="24"/>
                <w:u w:val="none"/>
                <w:lang w:val="en-US" w:eastAsia="zh-CN" w:bidi="ar"/>
              </w:rPr>
              <w:t>个</w:t>
            </w:r>
          </w:p>
        </w:tc>
        <w:tc>
          <w:tcPr>
            <w:tcW w:w="1269" w:type="dxa"/>
            <w:tcBorders>
              <w:top w:val="nil"/>
              <w:left w:val="nil"/>
              <w:bottom w:val="single" w:color="auto" w:sz="4" w:space="0"/>
              <w:right w:val="single" w:color="auto" w:sz="4" w:space="0"/>
            </w:tcBorders>
            <w:noWrap w:val="0"/>
            <w:vAlign w:val="center"/>
          </w:tcPr>
          <w:p w14:paraId="1CA7FAB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 w:hAnsi="仿宋" w:eastAsia="仿宋" w:cs="仿宋"/>
                <w:i w:val="0"/>
                <w:iCs w:val="0"/>
                <w:color w:val="000000"/>
                <w:kern w:val="0"/>
                <w:sz w:val="24"/>
                <w:szCs w:val="24"/>
                <w:u w:val="none"/>
                <w:lang w:val="en-US" w:eastAsia="zh-CN" w:bidi="ar"/>
              </w:rPr>
              <w:t>6</w:t>
            </w:r>
            <w:r>
              <w:rPr>
                <w:rFonts w:hint="eastAsia" w:eastAsia="仿宋" w:cs="仿宋"/>
                <w:i w:val="0"/>
                <w:iCs w:val="0"/>
                <w:color w:val="000000"/>
                <w:kern w:val="0"/>
                <w:sz w:val="24"/>
                <w:szCs w:val="24"/>
                <w:u w:val="none"/>
                <w:lang w:val="en-US" w:eastAsia="zh-CN" w:bidi="ar"/>
              </w:rPr>
              <w:t>个</w:t>
            </w:r>
          </w:p>
        </w:tc>
        <w:tc>
          <w:tcPr>
            <w:tcW w:w="716" w:type="dxa"/>
            <w:tcBorders>
              <w:top w:val="nil"/>
              <w:left w:val="nil"/>
              <w:bottom w:val="single" w:color="auto" w:sz="4" w:space="0"/>
              <w:right w:val="single" w:color="auto" w:sz="4" w:space="0"/>
            </w:tcBorders>
            <w:noWrap w:val="0"/>
            <w:vAlign w:val="center"/>
          </w:tcPr>
          <w:p w14:paraId="1819F22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B9DD05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2B4A2668">
            <w:pPr>
              <w:widowControl/>
              <w:spacing w:line="240" w:lineRule="exact"/>
              <w:jc w:val="center"/>
              <w:rPr>
                <w:rFonts w:hint="eastAsia" w:ascii="仿宋_GB2312" w:hAnsi="仿宋_GB2312" w:eastAsia="仿宋_GB2312" w:cs="仿宋_GB2312"/>
                <w:color w:val="000000"/>
                <w:sz w:val="20"/>
                <w:szCs w:val="20"/>
                <w:highlight w:val="none"/>
              </w:rPr>
            </w:pPr>
          </w:p>
        </w:tc>
      </w:tr>
      <w:tr w14:paraId="42C68E9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B2B27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D90CF0">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07693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shd w:val="clear" w:color="auto" w:fill="FFFFFF" w:themeFill="background1"/>
            <w:noWrap w:val="0"/>
            <w:vAlign w:val="center"/>
          </w:tcPr>
          <w:p w14:paraId="40CBAB9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经济责任审计延伸调查覆盖数量</w:t>
            </w:r>
          </w:p>
        </w:tc>
        <w:tc>
          <w:tcPr>
            <w:tcW w:w="1311" w:type="dxa"/>
            <w:tcBorders>
              <w:top w:val="nil"/>
              <w:left w:val="nil"/>
              <w:bottom w:val="single" w:color="auto" w:sz="4" w:space="0"/>
              <w:right w:val="single" w:color="auto" w:sz="4" w:space="0"/>
            </w:tcBorders>
            <w:shd w:val="clear" w:color="auto" w:fill="auto"/>
            <w:noWrap w:val="0"/>
            <w:vAlign w:val="center"/>
          </w:tcPr>
          <w:p w14:paraId="621284FF">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2个</w:t>
            </w:r>
          </w:p>
        </w:tc>
        <w:tc>
          <w:tcPr>
            <w:tcW w:w="1269" w:type="dxa"/>
            <w:tcBorders>
              <w:top w:val="nil"/>
              <w:left w:val="nil"/>
              <w:bottom w:val="single" w:color="auto" w:sz="4" w:space="0"/>
              <w:right w:val="single" w:color="auto" w:sz="4" w:space="0"/>
            </w:tcBorders>
            <w:shd w:val="clear" w:color="auto" w:fill="auto"/>
            <w:noWrap w:val="0"/>
            <w:vAlign w:val="center"/>
          </w:tcPr>
          <w:p w14:paraId="51CBFF1B">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2个</w:t>
            </w:r>
          </w:p>
        </w:tc>
        <w:tc>
          <w:tcPr>
            <w:tcW w:w="716" w:type="dxa"/>
            <w:tcBorders>
              <w:top w:val="nil"/>
              <w:left w:val="nil"/>
              <w:bottom w:val="single" w:color="auto" w:sz="4" w:space="0"/>
              <w:right w:val="single" w:color="auto" w:sz="4" w:space="0"/>
            </w:tcBorders>
            <w:noWrap w:val="0"/>
            <w:vAlign w:val="center"/>
          </w:tcPr>
          <w:p w14:paraId="371CAD7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12BD00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07AABD2D">
            <w:pPr>
              <w:widowControl/>
              <w:spacing w:line="240" w:lineRule="exact"/>
              <w:jc w:val="center"/>
              <w:rPr>
                <w:rFonts w:hint="eastAsia" w:ascii="仿宋_GB2312" w:hAnsi="仿宋_GB2312" w:eastAsia="仿宋_GB2312" w:cs="仿宋_GB2312"/>
                <w:color w:val="000000"/>
                <w:sz w:val="20"/>
                <w:szCs w:val="20"/>
                <w:highlight w:val="none"/>
              </w:rPr>
            </w:pPr>
          </w:p>
        </w:tc>
      </w:tr>
      <w:tr w14:paraId="748212D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E5771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37EB3E">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2F8F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shd w:val="clear" w:color="auto" w:fill="FFFFFF" w:themeFill="background1"/>
            <w:noWrap w:val="0"/>
            <w:vAlign w:val="center"/>
          </w:tcPr>
          <w:p w14:paraId="3B64ECC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审计项目严格按审计计划完成</w:t>
            </w:r>
          </w:p>
        </w:tc>
        <w:tc>
          <w:tcPr>
            <w:tcW w:w="1311" w:type="dxa"/>
            <w:tcBorders>
              <w:top w:val="nil"/>
              <w:left w:val="nil"/>
              <w:bottom w:val="single" w:color="auto" w:sz="4" w:space="0"/>
              <w:right w:val="single" w:color="auto" w:sz="4" w:space="0"/>
            </w:tcBorders>
            <w:noWrap w:val="0"/>
            <w:vAlign w:val="center"/>
          </w:tcPr>
          <w:p w14:paraId="364920C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316447E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1F678BF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BB2E11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0C5DC37">
            <w:pPr>
              <w:widowControl/>
              <w:spacing w:line="240" w:lineRule="exact"/>
              <w:jc w:val="center"/>
              <w:rPr>
                <w:rFonts w:hint="eastAsia" w:ascii="仿宋_GB2312" w:hAnsi="仿宋_GB2312" w:eastAsia="仿宋_GB2312" w:cs="仿宋_GB2312"/>
                <w:color w:val="000000"/>
                <w:sz w:val="20"/>
                <w:szCs w:val="20"/>
                <w:highlight w:val="none"/>
              </w:rPr>
            </w:pPr>
          </w:p>
        </w:tc>
      </w:tr>
      <w:tr w14:paraId="5BF6A0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2081E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09A9B6">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74DDBF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成本指标</w:t>
            </w:r>
          </w:p>
        </w:tc>
        <w:tc>
          <w:tcPr>
            <w:tcW w:w="1270" w:type="dxa"/>
            <w:tcBorders>
              <w:top w:val="nil"/>
              <w:left w:val="nil"/>
              <w:bottom w:val="single" w:color="auto" w:sz="4" w:space="0"/>
              <w:right w:val="single" w:color="auto" w:sz="4" w:space="0"/>
            </w:tcBorders>
            <w:noWrap w:val="0"/>
            <w:vAlign w:val="center"/>
          </w:tcPr>
          <w:p w14:paraId="66353EA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预算控制率</w:t>
            </w:r>
          </w:p>
        </w:tc>
        <w:tc>
          <w:tcPr>
            <w:tcW w:w="1311" w:type="dxa"/>
            <w:tcBorders>
              <w:top w:val="nil"/>
              <w:left w:val="nil"/>
              <w:bottom w:val="single" w:color="auto" w:sz="4" w:space="0"/>
              <w:right w:val="single" w:color="auto" w:sz="4" w:space="0"/>
            </w:tcBorders>
            <w:shd w:val="clear" w:color="auto" w:fill="auto"/>
            <w:noWrap w:val="0"/>
            <w:vAlign w:val="center"/>
          </w:tcPr>
          <w:p w14:paraId="7FF7A08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shd w:val="clear" w:color="auto" w:fill="auto"/>
            <w:noWrap w:val="0"/>
            <w:vAlign w:val="center"/>
          </w:tcPr>
          <w:p w14:paraId="7274DFA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114%</w:t>
            </w:r>
          </w:p>
        </w:tc>
        <w:tc>
          <w:tcPr>
            <w:tcW w:w="716" w:type="dxa"/>
            <w:tcBorders>
              <w:top w:val="nil"/>
              <w:left w:val="nil"/>
              <w:bottom w:val="single" w:color="auto" w:sz="4" w:space="0"/>
              <w:right w:val="single" w:color="auto" w:sz="4" w:space="0"/>
            </w:tcBorders>
            <w:noWrap w:val="0"/>
            <w:vAlign w:val="center"/>
          </w:tcPr>
          <w:p w14:paraId="5A3418F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5FA982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14:paraId="308CFD7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有上年结转资金</w:t>
            </w:r>
          </w:p>
        </w:tc>
      </w:tr>
      <w:tr w14:paraId="007DE37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59308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2E48760">
            <w:pPr>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效益指标（30分）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46365F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36E731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6DE8FC2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群众举报线索追查覆盖率</w:t>
            </w:r>
          </w:p>
        </w:tc>
        <w:tc>
          <w:tcPr>
            <w:tcW w:w="1311" w:type="dxa"/>
            <w:tcBorders>
              <w:top w:val="nil"/>
              <w:left w:val="nil"/>
              <w:bottom w:val="single" w:color="auto" w:sz="4" w:space="0"/>
              <w:right w:val="single" w:color="auto" w:sz="4" w:space="0"/>
            </w:tcBorders>
            <w:shd w:val="clear" w:color="auto" w:fill="auto"/>
            <w:noWrap w:val="0"/>
            <w:vAlign w:val="center"/>
          </w:tcPr>
          <w:p w14:paraId="2B5B4791">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shd w:val="clear" w:color="auto" w:fill="auto"/>
            <w:noWrap w:val="0"/>
            <w:vAlign w:val="center"/>
          </w:tcPr>
          <w:p w14:paraId="57EF73E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12E5A25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5BF810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15B6F90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A80C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A1FC2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0B78E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1E3BDFFE">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5611C23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无对社会发展造成的负面影响</w:t>
            </w:r>
          </w:p>
        </w:tc>
        <w:tc>
          <w:tcPr>
            <w:tcW w:w="1311" w:type="dxa"/>
            <w:tcBorders>
              <w:top w:val="nil"/>
              <w:left w:val="nil"/>
              <w:bottom w:val="single" w:color="auto" w:sz="4" w:space="0"/>
              <w:right w:val="single" w:color="auto" w:sz="4" w:space="0"/>
            </w:tcBorders>
            <w:shd w:val="clear" w:color="auto" w:fill="auto"/>
            <w:noWrap w:val="0"/>
            <w:vAlign w:val="center"/>
          </w:tcPr>
          <w:p w14:paraId="2C2C543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69" w:type="dxa"/>
            <w:tcBorders>
              <w:top w:val="nil"/>
              <w:left w:val="nil"/>
              <w:bottom w:val="single" w:color="auto" w:sz="4" w:space="0"/>
              <w:right w:val="single" w:color="auto" w:sz="4" w:space="0"/>
            </w:tcBorders>
            <w:shd w:val="clear" w:color="auto" w:fill="auto"/>
            <w:noWrap w:val="0"/>
            <w:vAlign w:val="center"/>
          </w:tcPr>
          <w:p w14:paraId="373C1F8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16" w:type="dxa"/>
            <w:tcBorders>
              <w:top w:val="nil"/>
              <w:left w:val="nil"/>
              <w:bottom w:val="single" w:color="auto" w:sz="4" w:space="0"/>
              <w:right w:val="single" w:color="auto" w:sz="4" w:space="0"/>
            </w:tcBorders>
            <w:noWrap w:val="0"/>
            <w:vAlign w:val="center"/>
          </w:tcPr>
          <w:p w14:paraId="5CFAA3B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81A530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0D11D834">
            <w:pPr>
              <w:widowControl/>
              <w:spacing w:line="240" w:lineRule="exact"/>
              <w:jc w:val="left"/>
              <w:rPr>
                <w:rFonts w:hint="eastAsia" w:ascii="仿宋_GB2312" w:hAnsi="仿宋_GB2312" w:eastAsia="仿宋_GB2312" w:cs="仿宋_GB2312"/>
                <w:color w:val="000000"/>
                <w:sz w:val="20"/>
                <w:szCs w:val="20"/>
                <w:highlight w:val="none"/>
              </w:rPr>
            </w:pPr>
          </w:p>
        </w:tc>
      </w:tr>
      <w:tr w14:paraId="711173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83911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8EEA6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14:paraId="1D19BD7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735859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2C146FA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碳排放</w:t>
            </w:r>
          </w:p>
        </w:tc>
        <w:tc>
          <w:tcPr>
            <w:tcW w:w="1311" w:type="dxa"/>
            <w:tcBorders>
              <w:top w:val="nil"/>
              <w:left w:val="nil"/>
              <w:bottom w:val="single" w:color="auto" w:sz="4" w:space="0"/>
              <w:right w:val="single" w:color="auto" w:sz="4" w:space="0"/>
            </w:tcBorders>
            <w:noWrap w:val="0"/>
            <w:vAlign w:val="center"/>
          </w:tcPr>
          <w:p w14:paraId="522FB11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降低</w:t>
            </w:r>
          </w:p>
        </w:tc>
        <w:tc>
          <w:tcPr>
            <w:tcW w:w="1269" w:type="dxa"/>
            <w:tcBorders>
              <w:top w:val="nil"/>
              <w:left w:val="nil"/>
              <w:bottom w:val="single" w:color="auto" w:sz="4" w:space="0"/>
              <w:right w:val="single" w:color="auto" w:sz="4" w:space="0"/>
            </w:tcBorders>
            <w:noWrap w:val="0"/>
            <w:vAlign w:val="center"/>
          </w:tcPr>
          <w:p w14:paraId="71EA166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降低</w:t>
            </w:r>
          </w:p>
        </w:tc>
        <w:tc>
          <w:tcPr>
            <w:tcW w:w="716" w:type="dxa"/>
            <w:tcBorders>
              <w:top w:val="nil"/>
              <w:left w:val="nil"/>
              <w:bottom w:val="single" w:color="auto" w:sz="4" w:space="0"/>
              <w:right w:val="single" w:color="auto" w:sz="4" w:space="0"/>
            </w:tcBorders>
            <w:noWrap w:val="0"/>
            <w:vAlign w:val="center"/>
          </w:tcPr>
          <w:p w14:paraId="170C9AF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9A441A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3E75A2E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DA3D8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7CF44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0BCFA9">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14:paraId="334A2DBA">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5C28AA8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水电节约</w:t>
            </w:r>
          </w:p>
        </w:tc>
        <w:tc>
          <w:tcPr>
            <w:tcW w:w="1311" w:type="dxa"/>
            <w:tcBorders>
              <w:top w:val="nil"/>
              <w:left w:val="nil"/>
              <w:bottom w:val="single" w:color="auto" w:sz="4" w:space="0"/>
              <w:right w:val="single" w:color="auto" w:sz="4" w:space="0"/>
            </w:tcBorders>
            <w:noWrap w:val="0"/>
            <w:vAlign w:val="center"/>
          </w:tcPr>
          <w:p w14:paraId="2AA252E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加强</w:t>
            </w:r>
          </w:p>
        </w:tc>
        <w:tc>
          <w:tcPr>
            <w:tcW w:w="1269" w:type="dxa"/>
            <w:tcBorders>
              <w:top w:val="nil"/>
              <w:left w:val="nil"/>
              <w:bottom w:val="single" w:color="auto" w:sz="4" w:space="0"/>
              <w:right w:val="single" w:color="auto" w:sz="4" w:space="0"/>
            </w:tcBorders>
            <w:noWrap w:val="0"/>
            <w:vAlign w:val="center"/>
          </w:tcPr>
          <w:p w14:paraId="7E557D9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w:t>
            </w:r>
          </w:p>
        </w:tc>
        <w:tc>
          <w:tcPr>
            <w:tcW w:w="716" w:type="dxa"/>
            <w:tcBorders>
              <w:top w:val="nil"/>
              <w:left w:val="nil"/>
              <w:bottom w:val="single" w:color="auto" w:sz="4" w:space="0"/>
              <w:right w:val="single" w:color="auto" w:sz="4" w:space="0"/>
            </w:tcBorders>
            <w:noWrap w:val="0"/>
            <w:vAlign w:val="center"/>
          </w:tcPr>
          <w:p w14:paraId="04D876A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CB74D8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2E02555">
            <w:pPr>
              <w:widowControl/>
              <w:spacing w:line="240" w:lineRule="exact"/>
              <w:jc w:val="left"/>
              <w:rPr>
                <w:rFonts w:hint="eastAsia" w:ascii="仿宋_GB2312" w:hAnsi="仿宋_GB2312" w:eastAsia="仿宋_GB2312" w:cs="仿宋_GB2312"/>
                <w:color w:val="000000"/>
                <w:sz w:val="20"/>
                <w:szCs w:val="20"/>
                <w:highlight w:val="none"/>
              </w:rPr>
            </w:pPr>
          </w:p>
        </w:tc>
      </w:tr>
      <w:tr w14:paraId="1D12D1D3">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75AFAEC7">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33757A5B">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14:paraId="2FBFDA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F902F4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整改率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05AFBC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347C94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6DBBDC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3ED11B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F6A7E4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41297B">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6932C09E">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315FCAC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F217A4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3B069E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14:paraId="6AC48EB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14:paraId="01A60A5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群众满意度</w:t>
            </w:r>
          </w:p>
        </w:tc>
        <w:tc>
          <w:tcPr>
            <w:tcW w:w="1311" w:type="dxa"/>
            <w:tcBorders>
              <w:top w:val="nil"/>
              <w:left w:val="nil"/>
              <w:bottom w:val="single" w:color="auto" w:sz="4" w:space="0"/>
              <w:right w:val="single" w:color="auto" w:sz="4" w:space="0"/>
            </w:tcBorders>
            <w:noWrap w:val="0"/>
            <w:vAlign w:val="center"/>
          </w:tcPr>
          <w:p w14:paraId="6DF1EF0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14:paraId="301C486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14:paraId="68AC9CD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AE93DE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7CE09B1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A5D7F1">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642BFFE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72DFEE6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04154B1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97.42</w:t>
            </w:r>
          </w:p>
        </w:tc>
        <w:tc>
          <w:tcPr>
            <w:tcW w:w="1446" w:type="dxa"/>
            <w:tcBorders>
              <w:top w:val="nil"/>
              <w:left w:val="nil"/>
              <w:bottom w:val="single" w:color="auto" w:sz="4" w:space="0"/>
              <w:right w:val="single" w:color="auto" w:sz="4" w:space="0"/>
            </w:tcBorders>
            <w:noWrap w:val="0"/>
            <w:vAlign w:val="center"/>
          </w:tcPr>
          <w:p w14:paraId="7EE4CBB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B6A6B10">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E4C97A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954084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25771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902F7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DA656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审计业务工作经费</w:t>
            </w:r>
          </w:p>
        </w:tc>
      </w:tr>
      <w:tr w14:paraId="3EA2F5C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6C705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480BD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33920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96ABE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AC0EA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C0D38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9D6AD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7F33A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64066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B6399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999DB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3C31F3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17F9DD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563C8F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B0C39E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5E3CF8A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3D9EB65">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478E7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01C57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BD6FB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100.8</w:t>
            </w:r>
          </w:p>
        </w:tc>
        <w:tc>
          <w:tcPr>
            <w:tcW w:w="1134" w:type="dxa"/>
            <w:tcBorders>
              <w:top w:val="nil"/>
              <w:left w:val="nil"/>
              <w:bottom w:val="single" w:color="auto" w:sz="4" w:space="0"/>
              <w:right w:val="single" w:color="auto" w:sz="4" w:space="0"/>
            </w:tcBorders>
            <w:noWrap w:val="0"/>
            <w:vAlign w:val="center"/>
          </w:tcPr>
          <w:p w14:paraId="6AAF31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100.8</w:t>
            </w:r>
          </w:p>
        </w:tc>
        <w:tc>
          <w:tcPr>
            <w:tcW w:w="1134" w:type="dxa"/>
            <w:tcBorders>
              <w:top w:val="nil"/>
              <w:left w:val="nil"/>
              <w:bottom w:val="single" w:color="auto" w:sz="4" w:space="0"/>
              <w:right w:val="single" w:color="auto" w:sz="4" w:space="0"/>
            </w:tcBorders>
            <w:noWrap w:val="0"/>
            <w:vAlign w:val="center"/>
          </w:tcPr>
          <w:p w14:paraId="337745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100.8</w:t>
            </w:r>
          </w:p>
        </w:tc>
        <w:tc>
          <w:tcPr>
            <w:tcW w:w="828" w:type="dxa"/>
            <w:tcBorders>
              <w:top w:val="nil"/>
              <w:left w:val="nil"/>
              <w:bottom w:val="single" w:color="auto" w:sz="4" w:space="0"/>
              <w:right w:val="single" w:color="auto" w:sz="4" w:space="0"/>
            </w:tcBorders>
            <w:noWrap w:val="0"/>
            <w:vAlign w:val="center"/>
          </w:tcPr>
          <w:p w14:paraId="6C2247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3E14A0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E35C6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09685E0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C18F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7E5ED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4018C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6F09E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29B5A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2EBBD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FEE5C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06825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E4504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B5450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AFE356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6AB5E4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B0E90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C4611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7177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14AA3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43D44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216EB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B775F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0BD4F4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006F9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370DD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8D45B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787B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0F386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F2FF0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D7FA8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03A36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A672C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45779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F58B10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EAB3A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6BEA4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3BA001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07F1A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228F5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6D4A5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1632A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76F1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08C49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72F8C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4D6E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235431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56736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8E2A6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0A5B2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63298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D1ED3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775B2A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50469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0380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E0057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5A0F8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94521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467F94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0BC4843">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审计政府投资项目数</w:t>
            </w:r>
          </w:p>
        </w:tc>
        <w:tc>
          <w:tcPr>
            <w:tcW w:w="1134" w:type="dxa"/>
            <w:tcBorders>
              <w:top w:val="nil"/>
              <w:left w:val="nil"/>
              <w:bottom w:val="single" w:color="auto" w:sz="4" w:space="0"/>
              <w:right w:val="single" w:color="auto" w:sz="4" w:space="0"/>
            </w:tcBorders>
            <w:noWrap w:val="0"/>
            <w:vAlign w:val="center"/>
          </w:tcPr>
          <w:p w14:paraId="6FF9B41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eastAsia="仿宋" w:cs="仿宋"/>
                <w:i w:val="0"/>
                <w:iCs w:val="0"/>
                <w:color w:val="000000"/>
                <w:kern w:val="0"/>
                <w:sz w:val="24"/>
                <w:szCs w:val="24"/>
                <w:u w:val="none"/>
                <w:lang w:val="en-US" w:eastAsia="zh-CN" w:bidi="ar"/>
              </w:rPr>
              <w:t>4个</w:t>
            </w:r>
          </w:p>
        </w:tc>
        <w:tc>
          <w:tcPr>
            <w:tcW w:w="1134" w:type="dxa"/>
            <w:tcBorders>
              <w:top w:val="nil"/>
              <w:left w:val="nil"/>
              <w:bottom w:val="single" w:color="auto" w:sz="4" w:space="0"/>
              <w:right w:val="single" w:color="auto" w:sz="4" w:space="0"/>
            </w:tcBorders>
            <w:noWrap w:val="0"/>
            <w:vAlign w:val="center"/>
          </w:tcPr>
          <w:p w14:paraId="5747BC74">
            <w:pPr>
              <w:widowControl/>
              <w:spacing w:line="240" w:lineRule="exact"/>
              <w:jc w:val="center"/>
              <w:rPr>
                <w:rFonts w:hint="eastAsia" w:ascii="仿宋_GB2312" w:hAnsi="仿宋_GB2312" w:eastAsia="仿宋_GB2312" w:cs="仿宋_GB2312"/>
                <w:color w:val="000000"/>
                <w:sz w:val="20"/>
                <w:szCs w:val="20"/>
                <w:highlight w:val="none"/>
              </w:rPr>
            </w:pPr>
            <w:r>
              <w:rPr>
                <w:rFonts w:hint="eastAsia" w:eastAsia="仿宋" w:cs="仿宋"/>
                <w:i w:val="0"/>
                <w:iCs w:val="0"/>
                <w:color w:val="000000"/>
                <w:kern w:val="0"/>
                <w:sz w:val="24"/>
                <w:szCs w:val="24"/>
                <w:u w:val="none"/>
                <w:lang w:val="en-US" w:eastAsia="zh-CN" w:bidi="ar"/>
              </w:rPr>
              <w:t>4个</w:t>
            </w:r>
          </w:p>
        </w:tc>
        <w:tc>
          <w:tcPr>
            <w:tcW w:w="828" w:type="dxa"/>
            <w:tcBorders>
              <w:top w:val="nil"/>
              <w:left w:val="nil"/>
              <w:bottom w:val="single" w:color="auto" w:sz="4" w:space="0"/>
              <w:right w:val="single" w:color="auto" w:sz="4" w:space="0"/>
            </w:tcBorders>
            <w:noWrap w:val="0"/>
            <w:vAlign w:val="center"/>
          </w:tcPr>
          <w:p w14:paraId="5E0B56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E80384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3E626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CD6F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251F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FD6F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4F5F30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17B5BC1">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自然资源审计项目</w:t>
            </w:r>
          </w:p>
        </w:tc>
        <w:tc>
          <w:tcPr>
            <w:tcW w:w="1134" w:type="dxa"/>
            <w:tcBorders>
              <w:top w:val="nil"/>
              <w:left w:val="nil"/>
              <w:bottom w:val="single" w:color="auto" w:sz="4" w:space="0"/>
              <w:right w:val="single" w:color="auto" w:sz="4" w:space="0"/>
            </w:tcBorders>
            <w:noWrap w:val="0"/>
            <w:vAlign w:val="center"/>
          </w:tcPr>
          <w:p w14:paraId="3FAC298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color w:val="000000"/>
                <w:sz w:val="20"/>
                <w:szCs w:val="20"/>
                <w:highlight w:val="none"/>
                <w:lang w:val="en-US" w:eastAsia="zh-CN"/>
              </w:rPr>
              <w:t>1</w:t>
            </w:r>
            <w:r>
              <w:rPr>
                <w:rFonts w:hint="eastAsia" w:eastAsia="仿宋" w:cs="仿宋"/>
                <w:color w:val="000000"/>
                <w:sz w:val="20"/>
                <w:szCs w:val="20"/>
                <w:highlight w:val="none"/>
                <w:lang w:val="en-US" w:eastAsia="zh-CN"/>
              </w:rPr>
              <w:t>个</w:t>
            </w:r>
          </w:p>
        </w:tc>
        <w:tc>
          <w:tcPr>
            <w:tcW w:w="1134" w:type="dxa"/>
            <w:tcBorders>
              <w:top w:val="nil"/>
              <w:left w:val="nil"/>
              <w:bottom w:val="single" w:color="auto" w:sz="4" w:space="0"/>
              <w:right w:val="single" w:color="auto" w:sz="4" w:space="0"/>
            </w:tcBorders>
            <w:noWrap w:val="0"/>
            <w:vAlign w:val="center"/>
          </w:tcPr>
          <w:p w14:paraId="5657D48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color w:val="000000"/>
                <w:sz w:val="20"/>
                <w:szCs w:val="20"/>
                <w:highlight w:val="none"/>
                <w:lang w:val="en-US" w:eastAsia="zh-CN"/>
              </w:rPr>
              <w:t>1</w:t>
            </w:r>
            <w:r>
              <w:rPr>
                <w:rFonts w:hint="eastAsia" w:eastAsia="仿宋" w:cs="仿宋"/>
                <w:color w:val="000000"/>
                <w:sz w:val="20"/>
                <w:szCs w:val="20"/>
                <w:highlight w:val="none"/>
                <w:lang w:val="en-US" w:eastAsia="zh-CN"/>
              </w:rPr>
              <w:t>个</w:t>
            </w:r>
          </w:p>
        </w:tc>
        <w:tc>
          <w:tcPr>
            <w:tcW w:w="828" w:type="dxa"/>
            <w:tcBorders>
              <w:top w:val="nil"/>
              <w:left w:val="nil"/>
              <w:bottom w:val="single" w:color="auto" w:sz="4" w:space="0"/>
              <w:right w:val="single" w:color="auto" w:sz="4" w:space="0"/>
            </w:tcBorders>
            <w:noWrap w:val="0"/>
            <w:vAlign w:val="center"/>
          </w:tcPr>
          <w:p w14:paraId="6FDF1C9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B0A42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8248A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965E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6BFC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61C3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21FCBC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42EF654">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财政同级审项目</w:t>
            </w:r>
          </w:p>
        </w:tc>
        <w:tc>
          <w:tcPr>
            <w:tcW w:w="1134" w:type="dxa"/>
            <w:tcBorders>
              <w:top w:val="nil"/>
              <w:left w:val="nil"/>
              <w:bottom w:val="single" w:color="auto" w:sz="4" w:space="0"/>
              <w:right w:val="single" w:color="auto" w:sz="4" w:space="0"/>
            </w:tcBorders>
            <w:noWrap w:val="0"/>
            <w:vAlign w:val="center"/>
          </w:tcPr>
          <w:p w14:paraId="2D0B4F5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4"/>
                <w:szCs w:val="24"/>
                <w:u w:val="none"/>
                <w:lang w:val="en-US" w:eastAsia="zh-CN" w:bidi="ar"/>
              </w:rPr>
              <w:t>3</w:t>
            </w:r>
            <w:r>
              <w:rPr>
                <w:rFonts w:hint="eastAsia" w:eastAsia="仿宋" w:cs="仿宋"/>
                <w:i w:val="0"/>
                <w:iCs w:val="0"/>
                <w:color w:val="000000"/>
                <w:kern w:val="0"/>
                <w:sz w:val="24"/>
                <w:szCs w:val="24"/>
                <w:u w:val="none"/>
                <w:lang w:val="en-US" w:eastAsia="zh-CN" w:bidi="ar"/>
              </w:rPr>
              <w:t>个</w:t>
            </w:r>
          </w:p>
        </w:tc>
        <w:tc>
          <w:tcPr>
            <w:tcW w:w="1134" w:type="dxa"/>
            <w:tcBorders>
              <w:top w:val="nil"/>
              <w:left w:val="nil"/>
              <w:bottom w:val="single" w:color="auto" w:sz="4" w:space="0"/>
              <w:right w:val="single" w:color="auto" w:sz="4" w:space="0"/>
            </w:tcBorders>
            <w:noWrap w:val="0"/>
            <w:vAlign w:val="center"/>
          </w:tcPr>
          <w:p w14:paraId="293C1C9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4"/>
                <w:szCs w:val="24"/>
                <w:u w:val="none"/>
                <w:lang w:val="en-US" w:eastAsia="zh-CN" w:bidi="ar"/>
              </w:rPr>
              <w:t>3</w:t>
            </w:r>
            <w:r>
              <w:rPr>
                <w:rFonts w:hint="eastAsia" w:eastAsia="仿宋" w:cs="仿宋"/>
                <w:i w:val="0"/>
                <w:iCs w:val="0"/>
                <w:color w:val="000000"/>
                <w:kern w:val="0"/>
                <w:sz w:val="24"/>
                <w:szCs w:val="24"/>
                <w:u w:val="none"/>
                <w:lang w:val="en-US" w:eastAsia="zh-CN" w:bidi="ar"/>
              </w:rPr>
              <w:t>个</w:t>
            </w:r>
          </w:p>
        </w:tc>
        <w:tc>
          <w:tcPr>
            <w:tcW w:w="828" w:type="dxa"/>
            <w:tcBorders>
              <w:top w:val="nil"/>
              <w:left w:val="nil"/>
              <w:bottom w:val="single" w:color="auto" w:sz="4" w:space="0"/>
              <w:right w:val="single" w:color="auto" w:sz="4" w:space="0"/>
            </w:tcBorders>
            <w:noWrap w:val="0"/>
            <w:vAlign w:val="center"/>
          </w:tcPr>
          <w:p w14:paraId="0F27CCF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F9FF34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08A0D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51C1A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8B4D9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4759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3499A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014DA5B">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经济责任审计项目</w:t>
            </w:r>
          </w:p>
        </w:tc>
        <w:tc>
          <w:tcPr>
            <w:tcW w:w="1134" w:type="dxa"/>
            <w:tcBorders>
              <w:top w:val="nil"/>
              <w:left w:val="nil"/>
              <w:bottom w:val="single" w:color="auto" w:sz="4" w:space="0"/>
              <w:right w:val="single" w:color="auto" w:sz="4" w:space="0"/>
            </w:tcBorders>
            <w:noWrap w:val="0"/>
            <w:vAlign w:val="center"/>
          </w:tcPr>
          <w:p w14:paraId="321B245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4"/>
                <w:szCs w:val="24"/>
                <w:u w:val="none"/>
                <w:lang w:val="en-US" w:eastAsia="zh-CN" w:bidi="ar"/>
              </w:rPr>
              <w:t>6</w:t>
            </w:r>
            <w:r>
              <w:rPr>
                <w:rFonts w:hint="eastAsia" w:eastAsia="仿宋" w:cs="仿宋"/>
                <w:i w:val="0"/>
                <w:iCs w:val="0"/>
                <w:color w:val="000000"/>
                <w:kern w:val="0"/>
                <w:sz w:val="24"/>
                <w:szCs w:val="24"/>
                <w:u w:val="none"/>
                <w:lang w:val="en-US" w:eastAsia="zh-CN" w:bidi="ar"/>
              </w:rPr>
              <w:t>个</w:t>
            </w:r>
          </w:p>
        </w:tc>
        <w:tc>
          <w:tcPr>
            <w:tcW w:w="1134" w:type="dxa"/>
            <w:tcBorders>
              <w:top w:val="nil"/>
              <w:left w:val="nil"/>
              <w:bottom w:val="single" w:color="auto" w:sz="4" w:space="0"/>
              <w:right w:val="single" w:color="auto" w:sz="4" w:space="0"/>
            </w:tcBorders>
            <w:noWrap w:val="0"/>
            <w:vAlign w:val="center"/>
          </w:tcPr>
          <w:p w14:paraId="2DE6484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4"/>
                <w:szCs w:val="24"/>
                <w:u w:val="none"/>
                <w:lang w:val="en-US" w:eastAsia="zh-CN" w:bidi="ar"/>
              </w:rPr>
              <w:t>6</w:t>
            </w:r>
            <w:r>
              <w:rPr>
                <w:rFonts w:hint="eastAsia" w:eastAsia="仿宋" w:cs="仿宋"/>
                <w:i w:val="0"/>
                <w:iCs w:val="0"/>
                <w:color w:val="000000"/>
                <w:kern w:val="0"/>
                <w:sz w:val="24"/>
                <w:szCs w:val="24"/>
                <w:u w:val="none"/>
                <w:lang w:val="en-US" w:eastAsia="zh-CN" w:bidi="ar"/>
              </w:rPr>
              <w:t>个</w:t>
            </w:r>
          </w:p>
        </w:tc>
        <w:tc>
          <w:tcPr>
            <w:tcW w:w="828" w:type="dxa"/>
            <w:tcBorders>
              <w:top w:val="nil"/>
              <w:left w:val="nil"/>
              <w:bottom w:val="single" w:color="auto" w:sz="4" w:space="0"/>
              <w:right w:val="single" w:color="auto" w:sz="4" w:space="0"/>
            </w:tcBorders>
            <w:noWrap w:val="0"/>
            <w:vAlign w:val="center"/>
          </w:tcPr>
          <w:p w14:paraId="6009622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B18D1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BF571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C726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A5FE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D025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3B78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shd w:val="clear" w:color="auto" w:fill="FFFFFF" w:themeFill="background1"/>
            <w:noWrap w:val="0"/>
            <w:vAlign w:val="center"/>
          </w:tcPr>
          <w:p w14:paraId="6B2331CF">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经济责任审计延伸调查覆盖数量</w:t>
            </w:r>
          </w:p>
        </w:tc>
        <w:tc>
          <w:tcPr>
            <w:tcW w:w="1134" w:type="dxa"/>
            <w:tcBorders>
              <w:top w:val="nil"/>
              <w:left w:val="nil"/>
              <w:bottom w:val="single" w:color="auto" w:sz="4" w:space="0"/>
              <w:right w:val="single" w:color="auto" w:sz="4" w:space="0"/>
            </w:tcBorders>
            <w:shd w:val="clear" w:color="auto" w:fill="auto"/>
            <w:noWrap w:val="0"/>
            <w:vAlign w:val="center"/>
          </w:tcPr>
          <w:p w14:paraId="6E06B956">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2个</w:t>
            </w:r>
          </w:p>
        </w:tc>
        <w:tc>
          <w:tcPr>
            <w:tcW w:w="1134" w:type="dxa"/>
            <w:tcBorders>
              <w:top w:val="nil"/>
              <w:left w:val="nil"/>
              <w:bottom w:val="single" w:color="auto" w:sz="4" w:space="0"/>
              <w:right w:val="single" w:color="auto" w:sz="4" w:space="0"/>
            </w:tcBorders>
            <w:shd w:val="clear" w:color="auto" w:fill="auto"/>
            <w:noWrap w:val="0"/>
            <w:vAlign w:val="center"/>
          </w:tcPr>
          <w:p w14:paraId="665EAE61">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2个</w:t>
            </w:r>
          </w:p>
        </w:tc>
        <w:tc>
          <w:tcPr>
            <w:tcW w:w="828" w:type="dxa"/>
            <w:tcBorders>
              <w:top w:val="nil"/>
              <w:left w:val="nil"/>
              <w:bottom w:val="single" w:color="auto" w:sz="4" w:space="0"/>
              <w:right w:val="single" w:color="auto" w:sz="4" w:space="0"/>
            </w:tcBorders>
            <w:shd w:val="clear" w:color="auto" w:fill="auto"/>
            <w:noWrap w:val="0"/>
            <w:vAlign w:val="center"/>
          </w:tcPr>
          <w:p w14:paraId="26232D6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5CD2BAC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9112B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D0999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E0C4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9FFA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2857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shd w:val="clear" w:color="auto" w:fill="FFFFFF" w:themeFill="background1"/>
            <w:noWrap w:val="0"/>
            <w:vAlign w:val="center"/>
          </w:tcPr>
          <w:p w14:paraId="0CCF3B6B">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审计项目严格按审计计划完成</w:t>
            </w:r>
          </w:p>
        </w:tc>
        <w:tc>
          <w:tcPr>
            <w:tcW w:w="1134" w:type="dxa"/>
            <w:tcBorders>
              <w:top w:val="nil"/>
              <w:left w:val="nil"/>
              <w:bottom w:val="single" w:color="auto" w:sz="4" w:space="0"/>
              <w:right w:val="single" w:color="auto" w:sz="4" w:space="0"/>
            </w:tcBorders>
            <w:shd w:val="clear" w:color="auto" w:fill="auto"/>
            <w:noWrap w:val="0"/>
            <w:vAlign w:val="center"/>
          </w:tcPr>
          <w:p w14:paraId="169421A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shd w:val="clear" w:color="auto" w:fill="auto"/>
            <w:noWrap w:val="0"/>
            <w:vAlign w:val="center"/>
          </w:tcPr>
          <w:p w14:paraId="34D86DA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5A744B92">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623EEF22">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67465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72D7D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98AE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0C1E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785E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shd w:val="clear" w:color="auto" w:fill="auto"/>
            <w:noWrap w:val="0"/>
            <w:vAlign w:val="center"/>
          </w:tcPr>
          <w:p w14:paraId="4D4EAA90">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预算控制率</w:t>
            </w:r>
          </w:p>
        </w:tc>
        <w:tc>
          <w:tcPr>
            <w:tcW w:w="1134" w:type="dxa"/>
            <w:tcBorders>
              <w:top w:val="nil"/>
              <w:left w:val="nil"/>
              <w:bottom w:val="single" w:color="auto" w:sz="4" w:space="0"/>
              <w:right w:val="single" w:color="auto" w:sz="4" w:space="0"/>
            </w:tcBorders>
            <w:shd w:val="clear" w:color="auto" w:fill="auto"/>
            <w:noWrap w:val="0"/>
            <w:vAlign w:val="center"/>
          </w:tcPr>
          <w:p w14:paraId="1015992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shd w:val="clear" w:color="auto" w:fill="auto"/>
            <w:noWrap w:val="0"/>
            <w:vAlign w:val="center"/>
          </w:tcPr>
          <w:p w14:paraId="6727E86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114%</w:t>
            </w:r>
          </w:p>
        </w:tc>
        <w:tc>
          <w:tcPr>
            <w:tcW w:w="828" w:type="dxa"/>
            <w:tcBorders>
              <w:top w:val="nil"/>
              <w:left w:val="nil"/>
              <w:bottom w:val="single" w:color="auto" w:sz="4" w:space="0"/>
              <w:right w:val="single" w:color="auto" w:sz="4" w:space="0"/>
            </w:tcBorders>
            <w:shd w:val="clear" w:color="auto" w:fill="auto"/>
            <w:noWrap w:val="0"/>
            <w:vAlign w:val="center"/>
          </w:tcPr>
          <w:p w14:paraId="281C807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781D06C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shd w:val="clear" w:color="auto" w:fill="auto"/>
            <w:noWrap w:val="0"/>
            <w:vAlign w:val="center"/>
          </w:tcPr>
          <w:p w14:paraId="3A319B6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有上年结转资金</w:t>
            </w:r>
          </w:p>
        </w:tc>
      </w:tr>
      <w:tr w14:paraId="72F46AD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24D6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41230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E474B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E31B0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BF1D0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nil"/>
              <w:bottom w:val="single" w:color="auto" w:sz="4" w:space="0"/>
              <w:right w:val="single" w:color="auto" w:sz="4" w:space="0"/>
            </w:tcBorders>
            <w:noWrap w:val="0"/>
            <w:vAlign w:val="center"/>
          </w:tcPr>
          <w:p w14:paraId="0A83D4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EDC6A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59BDAA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群众举报线索追查覆盖率</w:t>
            </w:r>
          </w:p>
        </w:tc>
        <w:tc>
          <w:tcPr>
            <w:tcW w:w="1134" w:type="dxa"/>
            <w:tcBorders>
              <w:top w:val="nil"/>
              <w:left w:val="nil"/>
              <w:bottom w:val="single" w:color="auto" w:sz="4" w:space="0"/>
              <w:right w:val="single" w:color="auto" w:sz="4" w:space="0"/>
            </w:tcBorders>
            <w:noWrap w:val="0"/>
            <w:vAlign w:val="center"/>
          </w:tcPr>
          <w:p w14:paraId="35F7A16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4DC3FAF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751C1F1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BB6BDD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44A55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D8C13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EE1FA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A229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B047E9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8D86F4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无对社会发展造成的负面影响</w:t>
            </w:r>
          </w:p>
        </w:tc>
        <w:tc>
          <w:tcPr>
            <w:tcW w:w="1134" w:type="dxa"/>
            <w:tcBorders>
              <w:top w:val="nil"/>
              <w:left w:val="nil"/>
              <w:bottom w:val="single" w:color="auto" w:sz="4" w:space="0"/>
              <w:right w:val="single" w:color="auto" w:sz="4" w:space="0"/>
            </w:tcBorders>
            <w:noWrap w:val="0"/>
            <w:vAlign w:val="center"/>
          </w:tcPr>
          <w:p w14:paraId="6C8BC6E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nil"/>
              <w:left w:val="nil"/>
              <w:bottom w:val="single" w:color="auto" w:sz="4" w:space="0"/>
              <w:right w:val="single" w:color="auto" w:sz="4" w:space="0"/>
            </w:tcBorders>
            <w:noWrap w:val="0"/>
            <w:vAlign w:val="center"/>
          </w:tcPr>
          <w:p w14:paraId="118F6AF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329D1A6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B667BB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52458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6983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EA887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B367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7DDE2E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E06DE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266A410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碳排放</w:t>
            </w:r>
          </w:p>
        </w:tc>
        <w:tc>
          <w:tcPr>
            <w:tcW w:w="1134" w:type="dxa"/>
            <w:tcBorders>
              <w:top w:val="nil"/>
              <w:left w:val="nil"/>
              <w:bottom w:val="single" w:color="auto" w:sz="4" w:space="0"/>
              <w:right w:val="single" w:color="auto" w:sz="4" w:space="0"/>
            </w:tcBorders>
            <w:shd w:val="clear" w:color="auto" w:fill="auto"/>
            <w:noWrap w:val="0"/>
            <w:vAlign w:val="center"/>
          </w:tcPr>
          <w:p w14:paraId="0FF1391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降低</w:t>
            </w:r>
          </w:p>
        </w:tc>
        <w:tc>
          <w:tcPr>
            <w:tcW w:w="1134" w:type="dxa"/>
            <w:tcBorders>
              <w:top w:val="nil"/>
              <w:left w:val="nil"/>
              <w:bottom w:val="single" w:color="auto" w:sz="4" w:space="0"/>
              <w:right w:val="single" w:color="auto" w:sz="4" w:space="0"/>
            </w:tcBorders>
            <w:shd w:val="clear" w:color="auto" w:fill="auto"/>
            <w:noWrap w:val="0"/>
            <w:vAlign w:val="center"/>
          </w:tcPr>
          <w:p w14:paraId="269F250D">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降低</w:t>
            </w:r>
          </w:p>
        </w:tc>
        <w:tc>
          <w:tcPr>
            <w:tcW w:w="828" w:type="dxa"/>
            <w:tcBorders>
              <w:top w:val="nil"/>
              <w:left w:val="nil"/>
              <w:bottom w:val="single" w:color="auto" w:sz="4" w:space="0"/>
              <w:right w:val="single" w:color="auto" w:sz="4" w:space="0"/>
            </w:tcBorders>
            <w:shd w:val="clear" w:color="auto" w:fill="auto"/>
            <w:noWrap w:val="0"/>
            <w:vAlign w:val="center"/>
          </w:tcPr>
          <w:p w14:paraId="3730FA8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33BBDE0B">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3646A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40390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A17C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57807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11DB2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shd w:val="clear" w:color="auto" w:fill="auto"/>
            <w:noWrap w:val="0"/>
            <w:vAlign w:val="center"/>
          </w:tcPr>
          <w:p w14:paraId="08B77E5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水电节约</w:t>
            </w:r>
          </w:p>
        </w:tc>
        <w:tc>
          <w:tcPr>
            <w:tcW w:w="1134" w:type="dxa"/>
            <w:tcBorders>
              <w:top w:val="nil"/>
              <w:left w:val="nil"/>
              <w:bottom w:val="single" w:color="auto" w:sz="4" w:space="0"/>
              <w:right w:val="single" w:color="auto" w:sz="4" w:space="0"/>
            </w:tcBorders>
            <w:shd w:val="clear" w:color="auto" w:fill="auto"/>
            <w:noWrap w:val="0"/>
            <w:vAlign w:val="center"/>
          </w:tcPr>
          <w:p w14:paraId="6C346020">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加强</w:t>
            </w:r>
          </w:p>
        </w:tc>
        <w:tc>
          <w:tcPr>
            <w:tcW w:w="1134" w:type="dxa"/>
            <w:tcBorders>
              <w:top w:val="nil"/>
              <w:left w:val="nil"/>
              <w:bottom w:val="single" w:color="auto" w:sz="4" w:space="0"/>
              <w:right w:val="single" w:color="auto" w:sz="4" w:space="0"/>
            </w:tcBorders>
            <w:shd w:val="clear" w:color="auto" w:fill="auto"/>
            <w:noWrap w:val="0"/>
            <w:vAlign w:val="center"/>
          </w:tcPr>
          <w:p w14:paraId="209C1D0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加强</w:t>
            </w:r>
          </w:p>
        </w:tc>
        <w:tc>
          <w:tcPr>
            <w:tcW w:w="828" w:type="dxa"/>
            <w:tcBorders>
              <w:top w:val="nil"/>
              <w:left w:val="nil"/>
              <w:bottom w:val="single" w:color="auto" w:sz="4" w:space="0"/>
              <w:right w:val="single" w:color="auto" w:sz="4" w:space="0"/>
            </w:tcBorders>
            <w:shd w:val="clear" w:color="auto" w:fill="auto"/>
            <w:noWrap w:val="0"/>
            <w:vAlign w:val="center"/>
          </w:tcPr>
          <w:p w14:paraId="57026F8B">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411F90A3">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A2C8B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E52DD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4B4E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2277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B364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0FF793">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整改率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82B6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7562B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80%</w:t>
            </w:r>
          </w:p>
        </w:tc>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1FD14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26C0D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74F1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EA38F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94AB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099253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58F8C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F02D7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A192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17C4A8C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shd w:val="clear" w:color="auto" w:fill="auto"/>
            <w:noWrap w:val="0"/>
            <w:vAlign w:val="center"/>
          </w:tcPr>
          <w:p w14:paraId="207E86C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shd w:val="clear" w:color="auto" w:fill="auto"/>
            <w:noWrap w:val="0"/>
            <w:vAlign w:val="center"/>
          </w:tcPr>
          <w:p w14:paraId="49F95BF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shd w:val="clear" w:color="auto" w:fill="auto"/>
            <w:noWrap w:val="0"/>
            <w:vAlign w:val="center"/>
          </w:tcPr>
          <w:p w14:paraId="1F19E384">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58F0BEE8">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9409F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CC20FA0">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49A8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3EC74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B793C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14:paraId="0AAE4F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bl>
    <w:p w14:paraId="20563C8B">
      <w:pPr>
        <w:rPr>
          <w:rFonts w:hint="default" w:ascii="Times New Roman" w:hAnsi="Times New Roman" w:eastAsia="仿宋_GB2312" w:cs="Times New Roman"/>
          <w:sz w:val="18"/>
          <w:szCs w:val="18"/>
          <w:highlight w:val="none"/>
        </w:rPr>
      </w:pPr>
    </w:p>
    <w:p w14:paraId="38178838">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86EB84C">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03C2A388">
      <w:pPr>
        <w:jc w:val="center"/>
        <w:rPr>
          <w:rFonts w:hint="default" w:ascii="Times New Roman" w:hAnsi="Times New Roman" w:eastAsia="方正小标宋_GBK" w:cs="Times New Roman"/>
          <w:sz w:val="52"/>
          <w:szCs w:val="52"/>
          <w:highlight w:val="none"/>
        </w:rPr>
      </w:pPr>
    </w:p>
    <w:p w14:paraId="5939AFD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2024年度岳阳市君山区审计局</w:t>
      </w:r>
    </w:p>
    <w:p w14:paraId="7BDB7D3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14:paraId="712FD962">
      <w:pPr>
        <w:jc w:val="center"/>
        <w:rPr>
          <w:rFonts w:ascii="Times New Roman" w:hAnsi="Times New Roman" w:eastAsia="方正小标宋_GBK"/>
          <w:b/>
          <w:sz w:val="52"/>
          <w:szCs w:val="52"/>
        </w:rPr>
      </w:pPr>
    </w:p>
    <w:p w14:paraId="7CC79DF5">
      <w:pPr>
        <w:jc w:val="center"/>
        <w:rPr>
          <w:rFonts w:ascii="Times New Roman" w:hAnsi="Times New Roman" w:eastAsia="楷体_GB2312"/>
          <w:b/>
          <w:sz w:val="32"/>
          <w:szCs w:val="32"/>
        </w:rPr>
      </w:pPr>
    </w:p>
    <w:p w14:paraId="384115CF">
      <w:pPr>
        <w:jc w:val="center"/>
        <w:rPr>
          <w:rFonts w:ascii="Times New Roman" w:hAnsi="Times New Roman" w:eastAsia="楷体_GB2312"/>
          <w:b/>
          <w:sz w:val="32"/>
          <w:szCs w:val="32"/>
        </w:rPr>
      </w:pPr>
    </w:p>
    <w:p w14:paraId="69B65096">
      <w:pPr>
        <w:jc w:val="center"/>
        <w:rPr>
          <w:rFonts w:ascii="Times New Roman" w:hAnsi="Times New Roman" w:eastAsia="楷体_GB2312"/>
          <w:b/>
          <w:sz w:val="32"/>
          <w:szCs w:val="32"/>
        </w:rPr>
      </w:pPr>
    </w:p>
    <w:p w14:paraId="775B5701">
      <w:pPr>
        <w:jc w:val="center"/>
        <w:rPr>
          <w:rFonts w:ascii="Times New Roman" w:hAnsi="Times New Roman" w:eastAsia="楷体_GB2312"/>
          <w:b/>
          <w:sz w:val="32"/>
          <w:szCs w:val="32"/>
        </w:rPr>
      </w:pPr>
    </w:p>
    <w:p w14:paraId="039E6CBD">
      <w:pPr>
        <w:jc w:val="center"/>
        <w:rPr>
          <w:rFonts w:ascii="Times New Roman" w:hAnsi="Times New Roman" w:eastAsia="楷体_GB2312"/>
          <w:b/>
          <w:sz w:val="32"/>
          <w:szCs w:val="32"/>
        </w:rPr>
      </w:pPr>
    </w:p>
    <w:p w14:paraId="5162B744">
      <w:pPr>
        <w:jc w:val="center"/>
        <w:rPr>
          <w:rFonts w:ascii="Times New Roman" w:hAnsi="Times New Roman" w:eastAsia="楷体_GB2312"/>
          <w:b/>
          <w:sz w:val="32"/>
          <w:szCs w:val="32"/>
        </w:rPr>
      </w:pPr>
    </w:p>
    <w:p w14:paraId="3A1EF263">
      <w:pPr>
        <w:jc w:val="center"/>
        <w:rPr>
          <w:rFonts w:ascii="Times New Roman" w:hAnsi="Times New Roman" w:eastAsia="黑体"/>
          <w:sz w:val="32"/>
          <w:szCs w:val="32"/>
        </w:rPr>
      </w:pPr>
    </w:p>
    <w:p w14:paraId="7DE26A91">
      <w:pPr>
        <w:jc w:val="center"/>
        <w:rPr>
          <w:rFonts w:ascii="Times New Roman" w:hAnsi="Times New Roman" w:eastAsia="黑体"/>
          <w:sz w:val="32"/>
          <w:szCs w:val="32"/>
        </w:rPr>
      </w:pPr>
    </w:p>
    <w:p w14:paraId="2CFA3B05">
      <w:pPr>
        <w:jc w:val="center"/>
        <w:rPr>
          <w:rFonts w:ascii="Times New Roman" w:hAnsi="Times New Roman" w:eastAsia="黑体"/>
          <w:sz w:val="32"/>
          <w:szCs w:val="32"/>
        </w:rPr>
      </w:pPr>
    </w:p>
    <w:p w14:paraId="16DF2129">
      <w:pPr>
        <w:rPr>
          <w:rFonts w:ascii="Times New Roman" w:hAnsi="Times New Roman" w:eastAsia="黑体"/>
          <w:sz w:val="32"/>
          <w:szCs w:val="32"/>
        </w:rPr>
      </w:pPr>
    </w:p>
    <w:p w14:paraId="77255F70">
      <w:pPr>
        <w:jc w:val="center"/>
        <w:rPr>
          <w:rFonts w:ascii="Times New Roman" w:hAnsi="Times New Roman" w:eastAsia="黑体"/>
          <w:sz w:val="32"/>
          <w:szCs w:val="32"/>
        </w:rPr>
      </w:pPr>
    </w:p>
    <w:p w14:paraId="03345644">
      <w:pPr>
        <w:jc w:val="center"/>
        <w:rPr>
          <w:rFonts w:ascii="Times New Roman" w:hAnsi="Times New Roman" w:eastAsia="黑体"/>
          <w:sz w:val="32"/>
          <w:szCs w:val="32"/>
        </w:rPr>
      </w:pPr>
    </w:p>
    <w:p w14:paraId="1A60EA33">
      <w:pPr>
        <w:jc w:val="center"/>
        <w:rPr>
          <w:rFonts w:ascii="Times New Roman" w:hAnsi="Times New Roman" w:eastAsia="黑体"/>
          <w:sz w:val="32"/>
          <w:szCs w:val="32"/>
        </w:rPr>
      </w:pPr>
    </w:p>
    <w:p w14:paraId="75357113">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14:paraId="31EA9144">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2025</w:t>
      </w:r>
      <w:r>
        <w:rPr>
          <w:rFonts w:ascii="Times New Roman" w:hAnsi="Times New Roman" w:eastAsia="楷体_GB2312"/>
          <w:sz w:val="32"/>
          <w:szCs w:val="32"/>
        </w:rPr>
        <w:t>年</w:t>
      </w:r>
      <w:r>
        <w:rPr>
          <w:rFonts w:hint="eastAsia" w:ascii="Times New Roman" w:hAnsi="Times New Roman" w:eastAsia="楷体_GB2312"/>
          <w:sz w:val="32"/>
          <w:szCs w:val="32"/>
        </w:rPr>
        <w:t>5</w:t>
      </w:r>
      <w:r>
        <w:rPr>
          <w:rFonts w:ascii="Times New Roman" w:hAnsi="Times New Roman" w:eastAsia="楷体_GB2312"/>
          <w:sz w:val="32"/>
          <w:szCs w:val="32"/>
        </w:rPr>
        <w:t xml:space="preserve"> 月</w:t>
      </w:r>
      <w:r>
        <w:rPr>
          <w:rFonts w:hint="eastAsia" w:ascii="Times New Roman" w:hAnsi="Times New Roman" w:eastAsia="楷体_GB2312"/>
          <w:sz w:val="32"/>
          <w:szCs w:val="32"/>
        </w:rPr>
        <w:t>6</w:t>
      </w:r>
      <w:r>
        <w:rPr>
          <w:rFonts w:ascii="Times New Roman" w:hAnsi="Times New Roman" w:eastAsia="楷体_GB2312"/>
          <w:sz w:val="32"/>
          <w:szCs w:val="32"/>
        </w:rPr>
        <w:t xml:space="preserve"> 日</w:t>
      </w:r>
    </w:p>
    <w:p w14:paraId="5CB54B71">
      <w:pPr>
        <w:jc w:val="center"/>
        <w:rPr>
          <w:rFonts w:ascii="Times New Roman" w:hAnsi="Times New Roman" w:eastAsia="仿宋_GB2312"/>
          <w:sz w:val="32"/>
          <w:szCs w:val="32"/>
        </w:rPr>
      </w:pPr>
      <w:r>
        <w:rPr>
          <w:rFonts w:ascii="Times New Roman" w:hAnsi="Times New Roman" w:eastAsia="仿宋_GB2312"/>
          <w:sz w:val="32"/>
          <w:szCs w:val="32"/>
        </w:rPr>
        <w:t>（此页为封面）</w:t>
      </w:r>
    </w:p>
    <w:p w14:paraId="64729779">
      <w:pPr>
        <w:jc w:val="center"/>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2024年度岳阳市君山区审计局</w:t>
      </w:r>
    </w:p>
    <w:p w14:paraId="58226A5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14:paraId="6BAE00B9">
      <w:pPr>
        <w:spacing w:line="640" w:lineRule="exact"/>
        <w:ind w:firstLine="640" w:firstLineChars="200"/>
        <w:rPr>
          <w:rFonts w:ascii="Times New Roman" w:hAnsi="Times New Roman" w:eastAsia="仿宋_GB2312"/>
          <w:sz w:val="32"/>
          <w:szCs w:val="32"/>
        </w:rPr>
      </w:pPr>
    </w:p>
    <w:p w14:paraId="22A5EDB8">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部门基本情况</w:t>
      </w:r>
    </w:p>
    <w:p w14:paraId="4FBAC3F4">
      <w:pPr>
        <w:spacing w:line="640" w:lineRule="exact"/>
        <w:rPr>
          <w:rFonts w:ascii="Times New Roman" w:hAnsi="Times New Roman" w:eastAsia="楷体_GB2312"/>
          <w:b/>
          <w:sz w:val="32"/>
          <w:szCs w:val="32"/>
        </w:rPr>
      </w:pPr>
      <w:r>
        <w:rPr>
          <w:rFonts w:hint="eastAsia" w:ascii="Times New Roman" w:hAnsi="Times New Roman" w:eastAsia="黑体"/>
          <w:sz w:val="32"/>
          <w:szCs w:val="32"/>
        </w:rPr>
        <w:t>　</w:t>
      </w:r>
      <w:r>
        <w:rPr>
          <w:rFonts w:hint="eastAsia" w:ascii="Times New Roman" w:hAnsi="Times New Roman" w:eastAsia="楷体_GB2312"/>
          <w:b/>
          <w:sz w:val="32"/>
          <w:szCs w:val="32"/>
        </w:rPr>
        <w:t>（一）单位基本情况</w:t>
      </w:r>
    </w:p>
    <w:p w14:paraId="03AE3DB9">
      <w:pPr>
        <w:widowControl/>
        <w:spacing w:line="64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岳阳市</w:t>
      </w:r>
      <w:r>
        <w:rPr>
          <w:rFonts w:ascii="Times New Roman" w:hAnsi="Times New Roman" w:eastAsia="仿宋_GB2312"/>
          <w:color w:val="000000"/>
          <w:sz w:val="32"/>
          <w:szCs w:val="32"/>
        </w:rPr>
        <w:t>君山区审计局</w:t>
      </w:r>
      <w:r>
        <w:rPr>
          <w:rFonts w:hint="eastAsia" w:ascii="仿宋_GB2312" w:hAnsi="仿宋_GB2312" w:eastAsia="仿宋_GB2312" w:cs="仿宋_GB2312"/>
          <w:kern w:val="2"/>
          <w:sz w:val="32"/>
          <w:szCs w:val="32"/>
        </w:rPr>
        <w:t>（以下简称我局）成立于1997年，</w:t>
      </w:r>
      <w:r>
        <w:rPr>
          <w:rFonts w:ascii="Times New Roman" w:hAnsi="Times New Roman" w:eastAsia="仿宋_GB2312"/>
          <w:color w:val="000000"/>
          <w:sz w:val="32"/>
          <w:szCs w:val="32"/>
        </w:rPr>
        <w:t>是君山区人民政府工作部门</w:t>
      </w:r>
      <w:r>
        <w:rPr>
          <w:rFonts w:hint="eastAsia" w:ascii="Times New Roman" w:hAnsi="Times New Roman" w:eastAsia="仿宋_GB2312"/>
          <w:color w:val="000000"/>
          <w:sz w:val="32"/>
          <w:szCs w:val="32"/>
        </w:rPr>
        <w:t>，其职能职责为</w:t>
      </w:r>
      <w:r>
        <w:rPr>
          <w:rFonts w:ascii="Times New Roman" w:hAnsi="Times New Roman" w:eastAsia="仿宋_GB2312"/>
          <w:color w:val="000000"/>
          <w:sz w:val="32"/>
          <w:szCs w:val="32"/>
        </w:rPr>
        <w:t>：</w:t>
      </w:r>
    </w:p>
    <w:p w14:paraId="3C14E3EF">
      <w:pPr>
        <w:widowControl/>
        <w:spacing w:line="6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w:t>
      </w:r>
      <w:r>
        <w:rPr>
          <w:rFonts w:ascii="Times New Roman" w:hAnsi="Times New Roman" w:eastAsia="仿宋_GB2312"/>
          <w:color w:val="000000"/>
          <w:sz w:val="32"/>
          <w:szCs w:val="32"/>
        </w:rPr>
        <w:t>贯彻执行国家、省、市审计方针政策，参与制定本区审计、财政方面的政策，制定审计业务工作规划，并监督执行，组织行业和专项资金的审计或审计调查。</w:t>
      </w:r>
    </w:p>
    <w:p w14:paraId="14B3D3B2">
      <w:pPr>
        <w:widowControl/>
        <w:spacing w:line="6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2、</w:t>
      </w:r>
      <w:r>
        <w:rPr>
          <w:rFonts w:ascii="Times New Roman" w:hAnsi="Times New Roman" w:eastAsia="仿宋_GB2312"/>
          <w:color w:val="000000"/>
          <w:sz w:val="32"/>
          <w:szCs w:val="32"/>
        </w:rPr>
        <w:t>向区政府报告和向区政府有关部门通报审计情况，提出制定和完善有关政策、宏观调控措施的意见和建议。</w:t>
      </w:r>
    </w:p>
    <w:p w14:paraId="6AA2B9FB">
      <w:pPr>
        <w:widowControl/>
        <w:spacing w:line="6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3、</w:t>
      </w:r>
      <w:r>
        <w:rPr>
          <w:rFonts w:ascii="Times New Roman" w:hAnsi="Times New Roman" w:eastAsia="仿宋_GB2312"/>
          <w:color w:val="000000"/>
          <w:sz w:val="32"/>
          <w:szCs w:val="32"/>
        </w:rPr>
        <w:t>依据《中华人民共和国审计法》的规定，直接进行区本级财政预算执行情况和其他财政收支等八项审计。</w:t>
      </w:r>
    </w:p>
    <w:p w14:paraId="49986DB1">
      <w:pPr>
        <w:widowControl/>
        <w:spacing w:line="6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4、</w:t>
      </w:r>
      <w:r>
        <w:rPr>
          <w:rFonts w:ascii="Times New Roman" w:hAnsi="Times New Roman" w:eastAsia="仿宋_GB2312"/>
          <w:color w:val="000000"/>
          <w:sz w:val="32"/>
          <w:szCs w:val="32"/>
        </w:rPr>
        <w:t>向区政府提交区本级预算执行情况的审计结果报告，受区政府委托向区人大常委会提出本级预算执行情况和其他财政财务收支审计工作报告。将区财政局的预算执行情况和其他财政收支情况的监督检查职责划入审计局。</w:t>
      </w:r>
    </w:p>
    <w:p w14:paraId="02E71769">
      <w:pPr>
        <w:widowControl/>
        <w:spacing w:line="640" w:lineRule="exact"/>
        <w:ind w:firstLine="651"/>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组织开展行业审计、专项审计和审计调查，并向上级审计机关、区政府和有关部门反映情况，提出建议。</w:t>
      </w:r>
    </w:p>
    <w:p w14:paraId="354A5533">
      <w:pPr>
        <w:widowControl/>
        <w:spacing w:line="640" w:lineRule="exact"/>
        <w:ind w:firstLine="651"/>
        <w:rPr>
          <w:rFonts w:ascii="Times New Roman" w:hAnsi="Times New Roman" w:eastAsia="仿宋_GB2312"/>
          <w:color w:val="000000"/>
          <w:sz w:val="32"/>
          <w:szCs w:val="32"/>
        </w:rPr>
      </w:pP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受区委、区政府委托，依法对党政领导干部和国有企业负责人进行任期经济责任审计。</w:t>
      </w:r>
    </w:p>
    <w:p w14:paraId="18B7C984">
      <w:pPr>
        <w:widowControl/>
        <w:spacing w:line="6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7、</w:t>
      </w:r>
      <w:r>
        <w:rPr>
          <w:rFonts w:ascii="Times New Roman" w:hAnsi="Times New Roman" w:eastAsia="仿宋_GB2312"/>
          <w:color w:val="000000"/>
          <w:sz w:val="32"/>
          <w:szCs w:val="32"/>
        </w:rPr>
        <w:t>组织实施对全区内部审计的指导与监督，监督社会审计组织的审计业务质量，组织审计专业培训。</w:t>
      </w:r>
    </w:p>
    <w:p w14:paraId="2E55978D">
      <w:pPr>
        <w:widowControl/>
        <w:spacing w:line="6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8、</w:t>
      </w:r>
      <w:r>
        <w:rPr>
          <w:rFonts w:ascii="Times New Roman" w:hAnsi="Times New Roman" w:eastAsia="仿宋_GB2312"/>
          <w:color w:val="000000"/>
          <w:sz w:val="32"/>
          <w:szCs w:val="32"/>
        </w:rPr>
        <w:t>加强区委对审计工作的领导，更好发挥审计监督作用，区委审计委员会办公室设在区审计局，不再保留区领导干部经济责任审计工作领导小组及办公室。</w:t>
      </w:r>
    </w:p>
    <w:p w14:paraId="25DA0B15">
      <w:pPr>
        <w:widowControl/>
        <w:spacing w:line="6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9、</w:t>
      </w:r>
      <w:r>
        <w:rPr>
          <w:rFonts w:ascii="Times New Roman" w:hAnsi="Times New Roman" w:eastAsia="仿宋_GB2312"/>
          <w:color w:val="000000"/>
          <w:sz w:val="32"/>
          <w:szCs w:val="32"/>
        </w:rPr>
        <w:t>将原发展改革和工业信息化局的重大项目稽查职责划入审计局。</w:t>
      </w:r>
    </w:p>
    <w:p w14:paraId="6B07423D">
      <w:pPr>
        <w:widowControl/>
        <w:spacing w:line="6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10、</w:t>
      </w:r>
      <w:r>
        <w:rPr>
          <w:rFonts w:ascii="Times New Roman" w:hAnsi="Times New Roman" w:eastAsia="仿宋_GB2312"/>
          <w:color w:val="000000"/>
          <w:sz w:val="32"/>
          <w:szCs w:val="32"/>
        </w:rPr>
        <w:t>机关党支部按章程设置，负责群团、离退休干部和关心下一代。</w:t>
      </w:r>
    </w:p>
    <w:p w14:paraId="3D4419AA">
      <w:pPr>
        <w:widowControl/>
        <w:spacing w:line="64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11、</w:t>
      </w:r>
      <w:r>
        <w:rPr>
          <w:rFonts w:ascii="Times New Roman" w:hAnsi="Times New Roman" w:eastAsia="仿宋_GB2312"/>
          <w:color w:val="000000"/>
          <w:sz w:val="32"/>
          <w:szCs w:val="32"/>
        </w:rPr>
        <w:t>承办区委、区政府交办的其他事项以及对上级审计机关授权项目进行审计监督。</w:t>
      </w:r>
    </w:p>
    <w:p w14:paraId="087263C0">
      <w:pPr>
        <w:pStyle w:val="11"/>
        <w:widowControl/>
        <w:spacing w:line="640" w:lineRule="exact"/>
        <w:ind w:firstLine="641"/>
        <w:rPr>
          <w:rFonts w:ascii="Times New Roman" w:hAnsi="Times New Roman" w:eastAsia="楷体_GB2312"/>
          <w:b/>
          <w:sz w:val="32"/>
          <w:szCs w:val="32"/>
        </w:rPr>
      </w:pPr>
      <w:r>
        <w:rPr>
          <w:rFonts w:hint="eastAsia" w:ascii="Times New Roman" w:hAnsi="Times New Roman" w:eastAsia="楷体_GB2312"/>
          <w:b/>
          <w:sz w:val="32"/>
          <w:szCs w:val="32"/>
        </w:rPr>
        <w:t>（二）机构设置与人员情况</w:t>
      </w:r>
    </w:p>
    <w:p w14:paraId="46F8509B">
      <w:pPr>
        <w:pStyle w:val="11"/>
        <w:widowControl/>
        <w:spacing w:line="64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我局</w:t>
      </w:r>
      <w:r>
        <w:rPr>
          <w:rFonts w:ascii="Times New Roman" w:hAnsi="Times New Roman" w:eastAsia="仿宋_GB2312"/>
          <w:color w:val="000000"/>
          <w:sz w:val="32"/>
          <w:szCs w:val="32"/>
        </w:rPr>
        <w:t>设办公室、法规与审理股、行政事业审计股、固定资产投资审计股、经济责任审计中心5个职能股室。</w:t>
      </w:r>
      <w:r>
        <w:rPr>
          <w:rFonts w:hint="eastAsia" w:ascii="Times New Roman" w:hAnsi="Times New Roman" w:eastAsia="仿宋_GB2312"/>
          <w:color w:val="000000"/>
          <w:sz w:val="32"/>
          <w:szCs w:val="32"/>
        </w:rPr>
        <w:t>2024</w:t>
      </w:r>
      <w:r>
        <w:rPr>
          <w:rFonts w:ascii="Times New Roman" w:hAnsi="Times New Roman" w:eastAsia="仿宋_GB2312"/>
          <w:color w:val="000000"/>
          <w:sz w:val="32"/>
          <w:szCs w:val="32"/>
        </w:rPr>
        <w:t>年末</w:t>
      </w:r>
      <w:r>
        <w:rPr>
          <w:rFonts w:hint="eastAsia" w:ascii="Times New Roman" w:hAnsi="Times New Roman" w:eastAsia="仿宋_GB2312"/>
          <w:color w:val="000000"/>
          <w:sz w:val="32"/>
          <w:szCs w:val="32"/>
        </w:rPr>
        <w:t>共有在职人员18人，其中，行政人员10人，非参公事业人员8人。</w:t>
      </w:r>
    </w:p>
    <w:p w14:paraId="4D07578F">
      <w:pPr>
        <w:pStyle w:val="11"/>
        <w:widowControl/>
        <w:numPr>
          <w:ilvl w:val="0"/>
          <w:numId w:val="2"/>
        </w:numPr>
        <w:spacing w:line="640" w:lineRule="exact"/>
        <w:ind w:firstLine="641"/>
        <w:rPr>
          <w:rFonts w:ascii="Times New Roman" w:hAnsi="Times New Roman" w:eastAsia="楷体_GB2312"/>
          <w:b/>
          <w:sz w:val="32"/>
          <w:szCs w:val="32"/>
        </w:rPr>
      </w:pPr>
      <w:r>
        <w:rPr>
          <w:rFonts w:hint="eastAsia" w:ascii="Times New Roman" w:hAnsi="Times New Roman" w:eastAsia="楷体_GB2312"/>
          <w:b/>
          <w:sz w:val="32"/>
          <w:szCs w:val="32"/>
        </w:rPr>
        <w:t>单位绩效目标</w:t>
      </w:r>
    </w:p>
    <w:p w14:paraId="3C496394">
      <w:pPr>
        <w:pStyle w:val="11"/>
        <w:widowControl/>
        <w:spacing w:line="640" w:lineRule="exact"/>
        <w:ind w:firstLine="0" w:firstLineChars="0"/>
        <w:rPr>
          <w:rFonts w:ascii="仿宋_GB2312" w:hAnsi="仿宋_GB2312" w:eastAsia="仿宋_GB2312" w:cs="仿宋_GB2312"/>
          <w:kern w:val="2"/>
          <w:sz w:val="32"/>
          <w:szCs w:val="32"/>
        </w:rPr>
      </w:pPr>
      <w:r>
        <w:rPr>
          <w:rFonts w:hint="eastAsia" w:ascii="Times New Roman" w:hAnsi="Times New Roman" w:eastAsia="楷体_GB2312"/>
          <w:b/>
          <w:sz w:val="32"/>
          <w:szCs w:val="32"/>
        </w:rPr>
        <w:t>　　</w:t>
      </w:r>
      <w:r>
        <w:rPr>
          <w:rFonts w:hint="eastAsia" w:ascii="仿宋_GB2312" w:hAnsi="仿宋_GB2312" w:eastAsia="仿宋_GB2312" w:cs="仿宋_GB2312"/>
          <w:kern w:val="2"/>
          <w:sz w:val="32"/>
          <w:szCs w:val="32"/>
        </w:rPr>
        <w:t>整体支出绩效目标：积极推行预算绩效管理，强化对资金使用情况的预算约束和监管，依法履行审计监督职责，最大限度地降低行政成本，提高财政资金的使用效益。严格按照年初项目计划推进审计项目，完成各类审计及审计调查项目，充分发挥审计在服务国家治理中的重要作用，为促进我区经济社会持续健康发展作出积极贡献。</w:t>
      </w:r>
    </w:p>
    <w:p w14:paraId="024F9973">
      <w:pPr>
        <w:pStyle w:val="11"/>
        <w:widowControl/>
        <w:spacing w:line="640" w:lineRule="exact"/>
        <w:ind w:firstLine="0" w:firstLineChars="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　　项目支出绩效目标：经济责任审计、财政同级审以及审计政府投资项目达到年初计划数，经济责任审计延伸调查覆盖数量完成两个，整改率达80%以上，审计监督体系长期有效实施。</w:t>
      </w:r>
    </w:p>
    <w:p w14:paraId="36DACA31">
      <w:pPr>
        <w:pStyle w:val="11"/>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100F9A9B">
      <w:pPr>
        <w:pStyle w:val="11"/>
        <w:widowControl/>
        <w:spacing w:line="640" w:lineRule="exact"/>
        <w:ind w:firstLine="640"/>
        <w:rPr>
          <w:rFonts w:ascii="Times New Roman" w:hAnsi="Times New Roman" w:eastAsia="楷体_GB2312"/>
          <w:b/>
          <w:sz w:val="32"/>
          <w:szCs w:val="32"/>
        </w:rPr>
      </w:pPr>
      <w:r>
        <w:rPr>
          <w:rFonts w:hint="eastAsia" w:ascii="仿宋_GB2312" w:hAnsi="仿宋_GB2312" w:eastAsia="仿宋_GB2312" w:cs="仿宋_GB2312"/>
          <w:kern w:val="2"/>
          <w:sz w:val="32"/>
          <w:szCs w:val="32"/>
        </w:rPr>
        <w:t>我局2024年</w:t>
      </w:r>
      <w:r>
        <w:rPr>
          <w:rFonts w:ascii="仿宋_GB2312" w:hAnsi="仿宋_GB2312" w:eastAsia="仿宋_GB2312" w:cs="仿宋_GB2312"/>
          <w:kern w:val="2"/>
          <w:sz w:val="32"/>
          <w:szCs w:val="32"/>
        </w:rPr>
        <w:t>全年</w:t>
      </w:r>
      <w:r>
        <w:rPr>
          <w:rFonts w:hint="eastAsia" w:ascii="仿宋_GB2312" w:hAnsi="仿宋_GB2312" w:eastAsia="仿宋_GB2312" w:cs="仿宋_GB2312"/>
          <w:kern w:val="2"/>
          <w:sz w:val="32"/>
          <w:szCs w:val="32"/>
        </w:rPr>
        <w:t>预算资金437.75</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其中：</w:t>
      </w:r>
      <w:r>
        <w:rPr>
          <w:rFonts w:ascii="仿宋_GB2312" w:hAnsi="仿宋_GB2312" w:eastAsia="仿宋_GB2312" w:cs="仿宋_GB2312"/>
          <w:kern w:val="2"/>
          <w:sz w:val="32"/>
          <w:szCs w:val="32"/>
        </w:rPr>
        <w:t>基本支出</w:t>
      </w:r>
      <w:r>
        <w:rPr>
          <w:rFonts w:hint="eastAsia" w:ascii="仿宋_GB2312" w:hAnsi="仿宋_GB2312" w:eastAsia="仿宋_GB2312" w:cs="仿宋_GB2312"/>
          <w:kern w:val="2"/>
          <w:sz w:val="32"/>
          <w:szCs w:val="32"/>
        </w:rPr>
        <w:t>336.95</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项目支出100.8</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。全年实际支出437.75</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其中：</w:t>
      </w:r>
      <w:r>
        <w:rPr>
          <w:rFonts w:ascii="仿宋_GB2312" w:hAnsi="仿宋_GB2312" w:eastAsia="仿宋_GB2312" w:cs="仿宋_GB2312"/>
          <w:kern w:val="2"/>
          <w:sz w:val="32"/>
          <w:szCs w:val="32"/>
        </w:rPr>
        <w:t>基本支出</w:t>
      </w:r>
      <w:r>
        <w:rPr>
          <w:rFonts w:hint="eastAsia" w:ascii="仿宋_GB2312" w:hAnsi="仿宋_GB2312" w:eastAsia="仿宋_GB2312" w:cs="仿宋_GB2312"/>
          <w:kern w:val="2"/>
          <w:sz w:val="32"/>
          <w:szCs w:val="32"/>
        </w:rPr>
        <w:t>336.95</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项目支出100.8</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。预算执行率100%。</w:t>
      </w:r>
    </w:p>
    <w:p w14:paraId="01AF2ABB">
      <w:pPr>
        <w:pStyle w:val="11"/>
        <w:widowControl/>
        <w:spacing w:line="640" w:lineRule="exact"/>
        <w:ind w:firstLine="641"/>
        <w:rPr>
          <w:rFonts w:ascii="Times New Roman" w:hAnsi="Times New Roman" w:eastAsia="楷体_GB2312"/>
          <w:b/>
          <w:sz w:val="32"/>
          <w:szCs w:val="32"/>
        </w:rPr>
      </w:pPr>
      <w:r>
        <w:rPr>
          <w:rFonts w:ascii="Times New Roman" w:hAnsi="Times New Roman" w:eastAsia="楷体_GB2312"/>
          <w:b/>
          <w:sz w:val="32"/>
          <w:szCs w:val="32"/>
        </w:rPr>
        <w:t>（一）基本支出情况</w:t>
      </w:r>
    </w:p>
    <w:p w14:paraId="1659B33A">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我局2024年</w:t>
      </w:r>
      <w:r>
        <w:rPr>
          <w:rFonts w:ascii="仿宋_GB2312" w:hAnsi="仿宋_GB2312" w:eastAsia="仿宋_GB2312" w:cs="仿宋_GB2312"/>
          <w:kern w:val="2"/>
          <w:sz w:val="32"/>
          <w:szCs w:val="32"/>
        </w:rPr>
        <w:t>全年基本支出</w:t>
      </w:r>
      <w:r>
        <w:rPr>
          <w:rFonts w:hint="eastAsia" w:ascii="仿宋_GB2312" w:hAnsi="仿宋_GB2312" w:eastAsia="仿宋_GB2312" w:cs="仿宋_GB2312"/>
          <w:kern w:val="2"/>
          <w:sz w:val="32"/>
          <w:szCs w:val="32"/>
        </w:rPr>
        <w:t>336.95</w:t>
      </w:r>
      <w:r>
        <w:rPr>
          <w:rFonts w:ascii="仿宋_GB2312" w:hAnsi="仿宋_GB2312" w:eastAsia="仿宋_GB2312" w:cs="仿宋_GB2312"/>
          <w:kern w:val="2"/>
          <w:sz w:val="32"/>
          <w:szCs w:val="32"/>
        </w:rPr>
        <w:t>万元，其中人员经费</w:t>
      </w:r>
      <w:r>
        <w:rPr>
          <w:rFonts w:hint="eastAsia" w:ascii="仿宋_GB2312" w:hAnsi="仿宋_GB2312" w:eastAsia="仿宋_GB2312" w:cs="仿宋_GB2312"/>
          <w:kern w:val="2"/>
          <w:sz w:val="32"/>
          <w:szCs w:val="32"/>
        </w:rPr>
        <w:t>299.35</w:t>
      </w:r>
      <w:r>
        <w:rPr>
          <w:rFonts w:ascii="仿宋_GB2312" w:hAnsi="仿宋_GB2312" w:eastAsia="仿宋_GB2312" w:cs="仿宋_GB2312"/>
          <w:kern w:val="2"/>
          <w:sz w:val="32"/>
          <w:szCs w:val="32"/>
        </w:rPr>
        <w:t>万元，公用经费</w:t>
      </w:r>
      <w:r>
        <w:rPr>
          <w:rFonts w:hint="eastAsia" w:ascii="仿宋_GB2312" w:hAnsi="仿宋_GB2312" w:eastAsia="仿宋_GB2312" w:cs="仿宋_GB2312"/>
          <w:kern w:val="2"/>
          <w:sz w:val="32"/>
          <w:szCs w:val="32"/>
        </w:rPr>
        <w:t>24</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，其他运转类13.6万元</w:t>
      </w:r>
      <w:r>
        <w:rPr>
          <w:rFonts w:ascii="仿宋_GB2312" w:hAnsi="仿宋_GB2312" w:eastAsia="仿宋_GB2312" w:cs="仿宋_GB2312"/>
          <w:kern w:val="2"/>
          <w:sz w:val="32"/>
          <w:szCs w:val="32"/>
        </w:rPr>
        <w:t>。</w:t>
      </w:r>
    </w:p>
    <w:p w14:paraId="369643C6">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14:paraId="2F60E3DA">
      <w:pPr>
        <w:pStyle w:val="11"/>
        <w:widowControl/>
        <w:numPr>
          <w:ilvl w:val="0"/>
          <w:numId w:val="3"/>
        </w:numPr>
        <w:spacing w:line="640" w:lineRule="exact"/>
        <w:ind w:firstLine="641"/>
        <w:rPr>
          <w:rFonts w:ascii="Times New Roman" w:hAnsi="Times New Roman" w:eastAsia="楷体_GB2312"/>
          <w:b/>
          <w:sz w:val="32"/>
          <w:szCs w:val="32"/>
        </w:rPr>
      </w:pPr>
      <w:r>
        <w:rPr>
          <w:rFonts w:ascii="Times New Roman" w:hAnsi="Times New Roman" w:eastAsia="楷体_GB2312"/>
          <w:b/>
          <w:sz w:val="32"/>
          <w:szCs w:val="32"/>
        </w:rPr>
        <w:t>项目支出情况</w:t>
      </w:r>
    </w:p>
    <w:p w14:paraId="583179A0">
      <w:pPr>
        <w:pStyle w:val="11"/>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2024年我局</w:t>
      </w:r>
      <w:r>
        <w:rPr>
          <w:rFonts w:ascii="仿宋_GB2312" w:hAnsi="仿宋_GB2312" w:eastAsia="仿宋_GB2312" w:cs="仿宋_GB2312"/>
          <w:kern w:val="2"/>
          <w:sz w:val="32"/>
          <w:szCs w:val="32"/>
        </w:rPr>
        <w:t>全年</w:t>
      </w:r>
      <w:r>
        <w:rPr>
          <w:rFonts w:hint="eastAsia" w:ascii="仿宋_GB2312" w:hAnsi="仿宋_GB2312" w:eastAsia="仿宋_GB2312" w:cs="仿宋_GB2312"/>
          <w:kern w:val="2"/>
          <w:sz w:val="32"/>
          <w:szCs w:val="32"/>
        </w:rPr>
        <w:t>项目支出100.8</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。项目支出主要是审计项目业务工作经费，主要是完成财政同级审，经济责任审计，审计政府投资项目数，并对审计中发现的问题实行整改全覆盖，群众举报线索追查覆盖率100%。</w:t>
      </w:r>
    </w:p>
    <w:p w14:paraId="265E09A1">
      <w:pPr>
        <w:pStyle w:val="11"/>
        <w:widowControl/>
        <w:numPr>
          <w:ilvl w:val="0"/>
          <w:numId w:val="1"/>
        </w:numPr>
        <w:spacing w:line="64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14:paraId="48C23824">
      <w:pPr>
        <w:pStyle w:val="11"/>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我局无此项支出。</w:t>
      </w:r>
    </w:p>
    <w:p w14:paraId="1ACFF8F1">
      <w:pPr>
        <w:pStyle w:val="11"/>
        <w:widowControl/>
        <w:numPr>
          <w:ilvl w:val="0"/>
          <w:numId w:val="1"/>
        </w:numPr>
        <w:spacing w:line="64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14:paraId="504A769A">
      <w:pPr>
        <w:pStyle w:val="11"/>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我局无此项支出。</w:t>
      </w:r>
    </w:p>
    <w:p w14:paraId="4AF8607A">
      <w:pPr>
        <w:pStyle w:val="11"/>
        <w:widowControl/>
        <w:numPr>
          <w:ilvl w:val="0"/>
          <w:numId w:val="1"/>
        </w:numPr>
        <w:spacing w:line="64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14:paraId="5DD969A0">
      <w:pPr>
        <w:pStyle w:val="11"/>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我局无此项支出。</w:t>
      </w:r>
    </w:p>
    <w:p w14:paraId="08A922A5">
      <w:pPr>
        <w:widowControl/>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部门整体支出绩效情况</w:t>
      </w:r>
    </w:p>
    <w:p w14:paraId="6F5DF1CD">
      <w:pPr>
        <w:pStyle w:val="11"/>
        <w:widowControl/>
        <w:spacing w:line="640" w:lineRule="exact"/>
        <w:ind w:firstLine="640" w:firstLineChars="0"/>
      </w:pPr>
      <w:r>
        <w:rPr>
          <w:rFonts w:hint="eastAsia" w:ascii="Times New Roman" w:hAnsi="Times New Roman" w:eastAsia="仿宋_GB2312"/>
          <w:color w:val="000000"/>
          <w:sz w:val="32"/>
          <w:szCs w:val="32"/>
        </w:rPr>
        <w:t>2024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我局</w:t>
      </w:r>
      <w:r>
        <w:rPr>
          <w:rFonts w:hint="eastAsia" w:ascii="Times New Roman" w:hAnsi="Times New Roman" w:eastAsia="仿宋_GB2312"/>
          <w:color w:val="000000"/>
          <w:sz w:val="32"/>
          <w:szCs w:val="32"/>
        </w:rPr>
        <w:t>严格执行预算，</w:t>
      </w:r>
      <w:r>
        <w:rPr>
          <w:rFonts w:ascii="Times New Roman" w:hAnsi="Times New Roman" w:eastAsia="仿宋_GB2312"/>
          <w:color w:val="000000"/>
          <w:sz w:val="32"/>
          <w:szCs w:val="32"/>
        </w:rPr>
        <w:t>财务管理规范，各项工作任务全面完成，单位行政运行稳定有序</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部门整体支出绩效自评得分</w:t>
      </w:r>
      <w:r>
        <w:rPr>
          <w:rFonts w:hint="eastAsia" w:ascii="Times New Roman" w:hAnsi="Times New Roman" w:eastAsia="仿宋_GB2312"/>
          <w:color w:val="000000"/>
          <w:sz w:val="32"/>
          <w:szCs w:val="32"/>
        </w:rPr>
        <w:t>97.42分。</w:t>
      </w:r>
    </w:p>
    <w:p w14:paraId="5DFAC6F2">
      <w:pPr>
        <w:widowControl/>
        <w:numPr>
          <w:ilvl w:val="0"/>
          <w:numId w:val="4"/>
        </w:numPr>
        <w:spacing w:line="560" w:lineRule="exact"/>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预算财务管理方面</w:t>
      </w:r>
    </w:p>
    <w:p w14:paraId="4B8919B0">
      <w:pPr>
        <w:pStyle w:val="11"/>
        <w:widowControl/>
        <w:spacing w:line="640" w:lineRule="exact"/>
        <w:ind w:firstLine="64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我局在支出</w:t>
      </w:r>
      <w:r>
        <w:rPr>
          <w:rFonts w:hint="eastAsia" w:ascii="Times New Roman" w:hAnsi="Times New Roman" w:eastAsia="仿宋_GB2312"/>
          <w:color w:val="000000"/>
          <w:sz w:val="32"/>
          <w:szCs w:val="32"/>
        </w:rPr>
        <w:t>上</w:t>
      </w:r>
      <w:r>
        <w:rPr>
          <w:rFonts w:ascii="Times New Roman" w:hAnsi="Times New Roman" w:eastAsia="仿宋_GB2312"/>
          <w:color w:val="000000"/>
          <w:sz w:val="32"/>
          <w:szCs w:val="32"/>
        </w:rPr>
        <w:t>，严格遵守各项规章制度，严格执行经费审批制度、财务会审制度和报销程序，加强了经费支出的监督管理，实现了资金申请、审批、拨付、监督等全流程制度化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14:paraId="121C5F56">
      <w:pPr>
        <w:pStyle w:val="5"/>
        <w:spacing w:line="560" w:lineRule="exact"/>
        <w:ind w:firstLine="640"/>
        <w:rPr>
          <w:rFonts w:ascii="Times New Roman" w:hAnsi="Times New Roman" w:eastAsia="仿宋_GB2312"/>
          <w:color w:val="000000"/>
          <w:sz w:val="32"/>
          <w:szCs w:val="32"/>
        </w:rPr>
      </w:pPr>
      <w:r>
        <w:rPr>
          <w:rFonts w:hint="eastAsia" w:ascii="仿宋_GB2312" w:hAnsi="仿宋_GB2312" w:eastAsia="仿宋_GB2312" w:cs="仿宋_GB2312"/>
          <w:kern w:val="44"/>
          <w:sz w:val="32"/>
          <w:szCs w:val="32"/>
        </w:rPr>
        <w:t>（二）履职产出效益方面</w:t>
      </w:r>
    </w:p>
    <w:p w14:paraId="5A438A8A">
      <w:pPr>
        <w:pStyle w:val="11"/>
        <w:widowControl/>
        <w:spacing w:line="640" w:lineRule="exact"/>
        <w:ind w:firstLine="64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我局认真履行审计监督职责，服务全</w:t>
      </w:r>
      <w:r>
        <w:rPr>
          <w:rFonts w:hint="eastAsia" w:ascii="Times New Roman" w:hAnsi="Times New Roman" w:eastAsia="仿宋_GB2312"/>
          <w:color w:val="000000"/>
          <w:sz w:val="32"/>
          <w:szCs w:val="32"/>
        </w:rPr>
        <w:t>区</w:t>
      </w:r>
      <w:r>
        <w:rPr>
          <w:rFonts w:ascii="Times New Roman" w:hAnsi="Times New Roman" w:eastAsia="仿宋_GB2312"/>
          <w:color w:val="000000"/>
          <w:sz w:val="32"/>
          <w:szCs w:val="32"/>
        </w:rPr>
        <w:t>经济社会发展大局。在</w:t>
      </w:r>
      <w:r>
        <w:rPr>
          <w:rFonts w:hint="eastAsia" w:ascii="Times New Roman" w:hAnsi="Times New Roman" w:eastAsia="仿宋_GB2312"/>
          <w:color w:val="000000"/>
          <w:sz w:val="32"/>
          <w:szCs w:val="32"/>
        </w:rPr>
        <w:t>区</w:t>
      </w:r>
      <w:r>
        <w:rPr>
          <w:rFonts w:ascii="Times New Roman" w:hAnsi="Times New Roman" w:eastAsia="仿宋_GB2312"/>
          <w:color w:val="000000"/>
          <w:sz w:val="32"/>
          <w:szCs w:val="32"/>
        </w:rPr>
        <w:t>委、</w:t>
      </w:r>
      <w:r>
        <w:rPr>
          <w:rFonts w:hint="eastAsia" w:ascii="Times New Roman" w:hAnsi="Times New Roman" w:eastAsia="仿宋_GB2312"/>
          <w:color w:val="000000"/>
          <w:sz w:val="32"/>
          <w:szCs w:val="32"/>
        </w:rPr>
        <w:t>区</w:t>
      </w:r>
      <w:r>
        <w:rPr>
          <w:rFonts w:ascii="Times New Roman" w:hAnsi="Times New Roman" w:eastAsia="仿宋_GB2312"/>
          <w:color w:val="000000"/>
          <w:sz w:val="32"/>
          <w:szCs w:val="32"/>
        </w:rPr>
        <w:t>政府的正确领导下，积极适应经济发展新常态、新形势，加强队伍建设，创新审计管理，突出审计重点，在促进重大决策部署落实、推动经济社会发展、查处违纪违法问题、维护群众利益等方面取得明显成效，较好地发挥了经济运行“安全员”、公共资金“守护者”的职能作用。</w:t>
      </w:r>
    </w:p>
    <w:p w14:paraId="7BBC576C">
      <w:pPr>
        <w:pStyle w:val="11"/>
        <w:widowControl/>
        <w:spacing w:line="640" w:lineRule="exact"/>
        <w:ind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w:t>
      </w:r>
      <w:r>
        <w:rPr>
          <w:rFonts w:ascii="Times New Roman" w:hAnsi="Times New Roman" w:eastAsia="仿宋_GB2312"/>
          <w:color w:val="000000"/>
          <w:sz w:val="32"/>
          <w:szCs w:val="32"/>
        </w:rPr>
        <w:t>全年共实施审计项目</w:t>
      </w:r>
      <w:r>
        <w:rPr>
          <w:rFonts w:hint="eastAsia" w:ascii="Times New Roman" w:hAnsi="Times New Roman" w:eastAsia="仿宋_GB2312"/>
          <w:color w:val="000000"/>
          <w:sz w:val="32"/>
          <w:szCs w:val="32"/>
        </w:rPr>
        <w:t>20</w:t>
      </w:r>
      <w:r>
        <w:rPr>
          <w:rFonts w:ascii="Times New Roman" w:hAnsi="Times New Roman" w:eastAsia="仿宋_GB2312"/>
          <w:color w:val="000000"/>
          <w:sz w:val="32"/>
          <w:szCs w:val="32"/>
        </w:rPr>
        <w:t>个，查出</w:t>
      </w:r>
      <w:r>
        <w:rPr>
          <w:rFonts w:hint="eastAsia" w:ascii="Times New Roman" w:hAnsi="Times New Roman" w:eastAsia="仿宋_GB2312"/>
          <w:color w:val="000000"/>
          <w:sz w:val="32"/>
          <w:szCs w:val="32"/>
        </w:rPr>
        <w:t>问题金额262556</w:t>
      </w:r>
      <w:r>
        <w:rPr>
          <w:rFonts w:ascii="Times New Roman" w:hAnsi="Times New Roman" w:eastAsia="仿宋_GB2312"/>
          <w:color w:val="000000"/>
          <w:sz w:val="32"/>
          <w:szCs w:val="32"/>
        </w:rPr>
        <w:t>万元，撰写审计要情</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篇，向纪检监察等部门移送案件线索</w:t>
      </w:r>
      <w:r>
        <w:rPr>
          <w:rFonts w:hint="eastAsia" w:ascii="Times New Roman" w:hAnsi="Times New Roman" w:eastAsia="仿宋_GB2312"/>
          <w:color w:val="000000"/>
          <w:sz w:val="32"/>
          <w:szCs w:val="32"/>
        </w:rPr>
        <w:t>8条</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荣获2024年度全市审计机关优秀审计项目二等奖1个、三等奖1个。</w:t>
      </w:r>
    </w:p>
    <w:p w14:paraId="52F12CC4">
      <w:pPr>
        <w:pStyle w:val="11"/>
        <w:widowControl/>
        <w:spacing w:line="640" w:lineRule="exact"/>
        <w:ind w:firstLine="640" w:firstLineChars="0"/>
        <w:rPr>
          <w:rFonts w:ascii="Times New Roman" w:hAnsi="Times New Roman" w:eastAsia="黑体"/>
          <w:sz w:val="32"/>
          <w:szCs w:val="32"/>
        </w:rPr>
      </w:pPr>
      <w:r>
        <w:rPr>
          <w:rFonts w:ascii="Times New Roman" w:hAnsi="Times New Roman" w:eastAsia="黑体"/>
          <w:sz w:val="32"/>
          <w:szCs w:val="32"/>
        </w:rPr>
        <w:t>七、存在的问题及原因分析</w:t>
      </w:r>
    </w:p>
    <w:p w14:paraId="2FD40CE6">
      <w:pPr>
        <w:widowControl/>
        <w:shd w:val="clear" w:color="auto" w:fill="FFFFFF"/>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存在的问题：一是预算编制以及预算执行不</w:t>
      </w:r>
      <w:r>
        <w:rPr>
          <w:rFonts w:hint="eastAsia" w:ascii="Times New Roman" w:hAnsi="Times New Roman" w:eastAsia="仿宋_GB2312"/>
          <w:sz w:val="32"/>
          <w:szCs w:val="32"/>
        </w:rPr>
        <w:t>够</w:t>
      </w:r>
      <w:r>
        <w:rPr>
          <w:rFonts w:ascii="Times New Roman" w:hAnsi="Times New Roman" w:eastAsia="仿宋_GB2312"/>
          <w:sz w:val="32"/>
          <w:szCs w:val="32"/>
        </w:rPr>
        <w:t>合理。预算编制与实际支出存在差异，机关运转</w:t>
      </w:r>
      <w:r>
        <w:rPr>
          <w:rFonts w:hint="eastAsia" w:ascii="Times New Roman" w:hAnsi="Times New Roman" w:eastAsia="仿宋_GB2312"/>
          <w:sz w:val="32"/>
          <w:szCs w:val="32"/>
        </w:rPr>
        <w:t>较紧张</w:t>
      </w:r>
      <w:r>
        <w:rPr>
          <w:rFonts w:ascii="Times New Roman" w:hAnsi="Times New Roman" w:eastAsia="仿宋_GB2312"/>
          <w:sz w:val="32"/>
          <w:szCs w:val="32"/>
        </w:rPr>
        <w:t>。</w:t>
      </w:r>
      <w:r>
        <w:rPr>
          <w:rFonts w:hint="eastAsia" w:ascii="Times New Roman" w:hAnsi="Times New Roman" w:eastAsia="仿宋_GB2312"/>
          <w:sz w:val="32"/>
          <w:szCs w:val="32"/>
        </w:rPr>
        <w:t>二是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14:paraId="2D28A74F">
      <w:pPr>
        <w:widowControl/>
        <w:shd w:val="clear" w:color="auto" w:fill="FFFFFF"/>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原因分析：主要原因是根据预算编制规则，预算内资金缩减，公用经费不足，难以满足机关日常运转的需要。审计项目多，</w:t>
      </w:r>
      <w:r>
        <w:rPr>
          <w:rFonts w:hint="eastAsia" w:ascii="Times New Roman" w:hAnsi="Times New Roman" w:eastAsia="仿宋_GB2312"/>
          <w:sz w:val="32"/>
          <w:szCs w:val="32"/>
        </w:rPr>
        <w:t>业务量大，导致</w:t>
      </w:r>
      <w:r>
        <w:rPr>
          <w:rFonts w:ascii="Times New Roman" w:hAnsi="Times New Roman" w:eastAsia="仿宋_GB2312"/>
          <w:sz w:val="32"/>
          <w:szCs w:val="32"/>
        </w:rPr>
        <w:t>人员紧张。</w:t>
      </w:r>
    </w:p>
    <w:p w14:paraId="2FBB3CB5">
      <w:pPr>
        <w:widowControl/>
        <w:numPr>
          <w:ilvl w:val="0"/>
          <w:numId w:val="5"/>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1319A533">
      <w:pPr>
        <w:pStyle w:val="5"/>
        <w:ind w:firstLine="0" w:firstLineChars="0"/>
        <w:rPr>
          <w:rFonts w:ascii="Times New Roman" w:hAnsi="Times New Roman" w:eastAsia="仿宋_GB2312"/>
          <w:sz w:val="32"/>
          <w:szCs w:val="32"/>
        </w:rPr>
      </w:pPr>
      <w:r>
        <w:rPr>
          <w:rFonts w:hint="eastAsia"/>
        </w:rPr>
        <w:t>　　</w:t>
      </w:r>
      <w:r>
        <w:rPr>
          <w:rFonts w:hint="eastAsia" w:ascii="Times New Roman" w:hAnsi="Times New Roman" w:eastAsia="仿宋_GB2312"/>
          <w:sz w:val="32"/>
          <w:szCs w:val="32"/>
        </w:rPr>
        <w:t>　一是按照预算规定的项目和用途严格财务审核，经费支出严格按预算规定项目的财务支出内容进行财务核算，在预算金额内严格控制费用的支出。</w:t>
      </w:r>
    </w:p>
    <w:p w14:paraId="0ED18CFE">
      <w:pPr>
        <w:pStyle w:val="5"/>
        <w:ind w:firstLine="0" w:firstLineChars="0"/>
        <w:rPr>
          <w:rFonts w:ascii="Times New Roman" w:hAnsi="Times New Roman" w:eastAsia="仿宋_GB2312"/>
          <w:sz w:val="32"/>
          <w:szCs w:val="32"/>
        </w:rPr>
      </w:pPr>
      <w:r>
        <w:rPr>
          <w:rFonts w:hint="eastAsia" w:ascii="Times New Roman" w:hAnsi="Times New Roman" w:eastAsia="仿宋_GB2312"/>
          <w:sz w:val="32"/>
          <w:szCs w:val="32"/>
        </w:rPr>
        <w:t>　　二是预算财务分析常态化，定期做好预算支出财务分析，做好单位整体支出预算评价工作。</w:t>
      </w:r>
    </w:p>
    <w:p w14:paraId="6B69C852">
      <w:pPr>
        <w:widowControl/>
        <w:numPr>
          <w:ilvl w:val="0"/>
          <w:numId w:val="5"/>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部门整体支出绩效自评结果拟应用和公开情况</w:t>
      </w:r>
    </w:p>
    <w:p w14:paraId="2066441C">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14:paraId="16C3C0D6">
      <w:pPr>
        <w:widowControl/>
        <w:shd w:val="clear" w:color="auto" w:fill="FFFFFF"/>
        <w:spacing w:line="560" w:lineRule="exact"/>
        <w:ind w:firstLine="640" w:firstLineChars="200"/>
      </w:pPr>
      <w:r>
        <w:rPr>
          <w:rFonts w:hint="eastAsia" w:ascii="Times New Roman" w:hAnsi="Times New Roman" w:eastAsia="仿宋_GB2312"/>
          <w:sz w:val="32"/>
          <w:szCs w:val="32"/>
        </w:rPr>
        <w:t>对部门整体支出绩效自评在规定时间内公开至本单位门户网站，确保公开数据真实、完整、准确。</w:t>
      </w:r>
    </w:p>
    <w:p w14:paraId="1360A6A3">
      <w:pPr>
        <w:widowControl/>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其他需要说明的情况</w:t>
      </w:r>
    </w:p>
    <w:p w14:paraId="42D47AFB">
      <w:pPr>
        <w:widowControl/>
        <w:spacing w:line="64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sz w:val="32"/>
          <w:szCs w:val="32"/>
        </w:rPr>
        <w:t>无。</w:t>
      </w:r>
    </w:p>
    <w:p w14:paraId="1A679ED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1B3CD7-7AEB-4294-B124-92698E42E9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5A4B742-18BF-46F6-ABF2-42F9DF9C2870}"/>
  </w:font>
  <w:font w:name="方正小标宋简体">
    <w:panose1 w:val="02000000000000000000"/>
    <w:charset w:val="86"/>
    <w:family w:val="auto"/>
    <w:pitch w:val="default"/>
    <w:sig w:usb0="00000001" w:usb1="08000000" w:usb2="00000000" w:usb3="00000000" w:csb0="00040000" w:csb1="00000000"/>
    <w:embedRegular r:id="rId3" w:fontKey="{F8A65211-0D53-47A6-85CA-2FBF84E1E338}"/>
  </w:font>
  <w:font w:name="仿宋_GB2312">
    <w:altName w:val="仿宋"/>
    <w:panose1 w:val="02010609030101010101"/>
    <w:charset w:val="86"/>
    <w:family w:val="modern"/>
    <w:pitch w:val="default"/>
    <w:sig w:usb0="00000000" w:usb1="00000000" w:usb2="00000000" w:usb3="00000000" w:csb0="00040000" w:csb1="00000000"/>
    <w:embedRegular r:id="rId4" w:fontKey="{5F7996E8-452D-4F10-9803-B0A113BFB9CB}"/>
  </w:font>
  <w:font w:name="方正小标宋_GBK">
    <w:altName w:val="微软雅黑"/>
    <w:panose1 w:val="02000000000000000000"/>
    <w:charset w:val="86"/>
    <w:family w:val="script"/>
    <w:pitch w:val="default"/>
    <w:sig w:usb0="00000000" w:usb1="00000000" w:usb2="00000000" w:usb3="00000000" w:csb0="00040000" w:csb1="00000000"/>
    <w:embedRegular r:id="rId5" w:fontKey="{51D415D0-F714-4497-AD9B-3FF6D749DBA5}"/>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embedRegular r:id="rId6" w:fontKey="{D0DC8E9F-0BC5-4260-9EE9-A594FE08014A}"/>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1113A4A2"/>
    <w:multiLevelType w:val="singleLevel"/>
    <w:tmpl w:val="1113A4A2"/>
    <w:lvl w:ilvl="0" w:tentative="0">
      <w:start w:val="1"/>
      <w:numFmt w:val="chineseCounting"/>
      <w:suff w:val="nothing"/>
      <w:lvlText w:val="（%1）"/>
      <w:lvlJc w:val="left"/>
      <w:rPr>
        <w:rFonts w:hint="eastAsia"/>
      </w:rPr>
    </w:lvl>
  </w:abstractNum>
  <w:abstractNum w:abstractNumId="2">
    <w:nsid w:val="425036FE"/>
    <w:multiLevelType w:val="singleLevel"/>
    <w:tmpl w:val="425036FE"/>
    <w:lvl w:ilvl="0" w:tentative="0">
      <w:start w:val="2"/>
      <w:numFmt w:val="chineseCounting"/>
      <w:suff w:val="nothing"/>
      <w:lvlText w:val="（%1）"/>
      <w:lvlJc w:val="left"/>
      <w:rPr>
        <w:rFonts w:hint="eastAsia"/>
      </w:rPr>
    </w:lvl>
  </w:abstractNum>
  <w:abstractNum w:abstractNumId="3">
    <w:nsid w:val="7F0490DB"/>
    <w:multiLevelType w:val="singleLevel"/>
    <w:tmpl w:val="7F0490DB"/>
    <w:lvl w:ilvl="0" w:tentative="0">
      <w:start w:val="1"/>
      <w:numFmt w:val="chineseCounting"/>
      <w:suff w:val="nothing"/>
      <w:lvlText w:val="%1、"/>
      <w:lvlJc w:val="left"/>
      <w:rPr>
        <w:rFonts w:hint="eastAsia"/>
      </w:rPr>
    </w:lvl>
  </w:abstractNum>
  <w:abstractNum w:abstractNumId="4">
    <w:nsid w:val="7F66692C"/>
    <w:multiLevelType w:val="singleLevel"/>
    <w:tmpl w:val="7F66692C"/>
    <w:lvl w:ilvl="0" w:tentative="0">
      <w:start w:val="3"/>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09C512B"/>
    <w:rsid w:val="01DB1C83"/>
    <w:rsid w:val="06C675E3"/>
    <w:rsid w:val="0CBE0229"/>
    <w:rsid w:val="0E39045D"/>
    <w:rsid w:val="118F65E6"/>
    <w:rsid w:val="17211FE7"/>
    <w:rsid w:val="21110DC5"/>
    <w:rsid w:val="2826784C"/>
    <w:rsid w:val="288F719F"/>
    <w:rsid w:val="2ACB46DB"/>
    <w:rsid w:val="304E5B92"/>
    <w:rsid w:val="33DB56BC"/>
    <w:rsid w:val="349E4B2E"/>
    <w:rsid w:val="359978AF"/>
    <w:rsid w:val="36415851"/>
    <w:rsid w:val="39AE1450"/>
    <w:rsid w:val="3B923388"/>
    <w:rsid w:val="3FD8208A"/>
    <w:rsid w:val="416D26EF"/>
    <w:rsid w:val="46F90D92"/>
    <w:rsid w:val="4EB96475"/>
    <w:rsid w:val="51FD48CA"/>
    <w:rsid w:val="59350DEE"/>
    <w:rsid w:val="59886344"/>
    <w:rsid w:val="5C247E0D"/>
    <w:rsid w:val="6449399F"/>
    <w:rsid w:val="73B250BD"/>
    <w:rsid w:val="770A5210"/>
    <w:rsid w:val="78EA354B"/>
    <w:rsid w:val="79977241"/>
    <w:rsid w:val="7DD914FE"/>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pPr>
    <w:rPr>
      <w:rFonts w:eastAsia="宋体"/>
      <w:sz w:val="18"/>
    </w:rPr>
  </w:style>
  <w:style w:type="paragraph" w:styleId="3">
    <w:name w:val="Body Text First Indent 2"/>
    <w:basedOn w:val="4"/>
    <w:qFormat/>
    <w:uiPriority w:val="0"/>
    <w:pPr>
      <w:spacing w:before="100" w:beforeAutospacing="1" w:after="0"/>
      <w:ind w:left="0" w:firstLine="420" w:firstLineChars="200"/>
    </w:pPr>
    <w:rPr>
      <w:rFonts w:ascii="Calibri" w:hAnsi="Calibri"/>
    </w:rPr>
  </w:style>
  <w:style w:type="paragraph" w:styleId="4">
    <w:name w:val="Body Text Indent"/>
    <w:basedOn w:val="1"/>
    <w:qFormat/>
    <w:uiPriority w:val="0"/>
    <w:pPr>
      <w:spacing w:after="120"/>
      <w:ind w:left="420" w:leftChars="200"/>
    </w:pPr>
    <w:rPr>
      <w:rFonts w:eastAsia="宋体" w:cs="Times New Roman"/>
    </w:rPr>
  </w:style>
  <w:style w:type="paragraph" w:styleId="5">
    <w:name w:val="Normal Indent"/>
    <w:basedOn w:val="1"/>
    <w:unhideWhenUsed/>
    <w:qFormat/>
    <w:uiPriority w:val="99"/>
    <w:pPr>
      <w:ind w:firstLine="420" w:firstLineChars="200"/>
    </w:p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1560</Words>
  <Characters>1794</Characters>
  <Lines>0</Lines>
  <Paragraphs>0</Paragraphs>
  <TotalTime>6</TotalTime>
  <ScaleCrop>false</ScaleCrop>
  <LinksUpToDate>false</LinksUpToDate>
  <CharactersWithSpaces>2066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黄红超</cp:lastModifiedBy>
  <cp:lastPrinted>2025-05-28T03:25:22Z</cp:lastPrinted>
  <dcterms:modified xsi:type="dcterms:W3CDTF">2025-05-28T03:29:57Z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8891147E13FA47C59DF1D408A8FD2363_13</vt:lpwstr>
  </property>
  <property fmtid="{D5CDD505-2E9C-101B-9397-08002B2CF9AE}" pid="4" name="KSOTemplateDocerSaveRecord">
    <vt:lpwstr>eyJoZGlkIjoiYzdhYjk4OGVmM2VlZjBhMjQ4ZjAyMGMyN2E1NmZkZjUiLCJ1c2VySWQiOiIxNjYzMTI3OTcxIn0=</vt:lpwstr>
  </property>
</Properties>
</file>