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Ind w:w="0" w:type="dxa"/>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Layout w:type="fixed"/>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0.52</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0.52</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1589.54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1430.52</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1511.54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1391.52</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粮食储备专项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38.66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67.44</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5.81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13.11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8.3</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4.08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2.49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5.23</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3.50</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0.16</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Layout w:type="fixed"/>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无</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rPr>
              <w:t>1、</w:t>
            </w:r>
            <w:r>
              <w:rPr>
                <w:rFonts w:ascii="仿宋_GB2312" w:hAnsi="仿宋_GB2312" w:eastAsia="仿宋_GB2312" w:cs="仿宋_GB2312"/>
                <w:sz w:val="20"/>
                <w:szCs w:val="20"/>
              </w:rPr>
              <w:t>加强思想教育和组织领导，确保全体员工充分认识到厉行节约的重要性；</w:t>
            </w:r>
            <w:r>
              <w:rPr>
                <w:rFonts w:hint="eastAsia" w:ascii="仿宋_GB2312" w:hAnsi="仿宋_GB2312" w:eastAsia="仿宋_GB2312" w:cs="仿宋_GB2312"/>
                <w:sz w:val="20"/>
                <w:szCs w:val="20"/>
              </w:rPr>
              <w:t>2、</w:t>
            </w:r>
            <w:r>
              <w:rPr>
                <w:rFonts w:ascii="仿宋_GB2312" w:hAnsi="仿宋_GB2312" w:eastAsia="仿宋_GB2312" w:cs="仿宋_GB2312"/>
                <w:sz w:val="20"/>
                <w:szCs w:val="20"/>
              </w:rPr>
              <w:t>严格控制“三公”经费，加强公务接待管理，严禁超标准、同城接待；</w:t>
            </w:r>
            <w:r>
              <w:rPr>
                <w:rFonts w:hint="eastAsia" w:ascii="仿宋_GB2312" w:hAnsi="仿宋_GB2312" w:eastAsia="仿宋_GB2312" w:cs="仿宋_GB2312"/>
                <w:sz w:val="20"/>
                <w:szCs w:val="20"/>
              </w:rPr>
              <w:t>3、</w:t>
            </w:r>
            <w:r>
              <w:rPr>
                <w:rFonts w:ascii="仿宋_GB2312" w:hAnsi="仿宋_GB2312" w:eastAsia="仿宋_GB2312" w:cs="仿宋_GB2312"/>
                <w:sz w:val="20"/>
                <w:szCs w:val="20"/>
              </w:rPr>
              <w:t>优化压缩项目支出，包括会议费、差旅费以及劳务费、宣传费等只减不增。大力推行</w:t>
            </w:r>
            <w:r>
              <w:fldChar w:fldCharType="begin"/>
            </w:r>
            <w:r>
              <w:instrText xml:space="preserve"> HYPERLINK "https://www.baidu.com/s?rsv_idx=1&amp;ch=23&amp;tn=98010089_dg&amp;wd=%E6%97%A0%E7%BA%B8%E5%8C%96%E5%8A%9E%E5%85%AC&amp;fenlei=256&amp;usm=1&amp;ie=utf-8&amp;rsv_pq=89c0e95b000c1ddb&amp;oq=%E8%A1%8C%E6%94%BF%E5%8D%95%E4%BD%8D%E5%8E%89%E8%A1%8C%E8%8A%82%E7%BA%A6%E4%BF%9D%E9%9A%9C%E6%8E%AA%E6%96%BD&amp;rsv_t=d231e49jXiX0H3FqxtH2c406d8FFJPpKqV0JyCVq7UxRq5I4M02gGhvqKiKfStPVtBU&amp;sa=re_dqa_zy&amp;icon=1" \t "_self" </w:instrText>
            </w:r>
            <w:r>
              <w:fldChar w:fldCharType="separate"/>
            </w:r>
            <w:r>
              <w:rPr>
                <w:rFonts w:ascii="仿宋_GB2312" w:hAnsi="仿宋_GB2312" w:eastAsia="仿宋_GB2312" w:cs="仿宋_GB2312"/>
                <w:sz w:val="20"/>
                <w:szCs w:val="20"/>
              </w:rPr>
              <w:t>无纸化办公</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w:t>
            </w:r>
            <w:r>
              <w:fldChar w:fldCharType="begin"/>
            </w:r>
            <w:r>
              <w:instrText xml:space="preserve"> HYPERLINK "https://www.baidu.com/s?rsv_idx=1&amp;ch=23&amp;tn=98010089_dg&amp;wd=%E5%8F%8C%E9%9D%A2%E6%89%93%E5%8D%B0&amp;fenlei=256&amp;usm=1&amp;ie=utf-8&amp;rsv_pq=89c0e95b000c1ddb&amp;oq=%E8%A1%8C%E6%94%BF%E5%8D%95%E4%BD%8D%E5%8E%89%E8%A1%8C%E8%8A%82%E7%BA%A6%E4%BF%9D%E9%9A%9C%E6%8E%AA%E6%96%BD&amp;rsv_t=d231e49jXiX0H3FqxtH2c406d8FFJPpKqV0JyCVq7UxRq5I4M02gGhvqKiKfStPVtBU&amp;sa=re_dqa_zy&amp;icon=1" \t "_self" </w:instrText>
            </w:r>
            <w:r>
              <w:fldChar w:fldCharType="separate"/>
            </w:r>
            <w:r>
              <w:rPr>
                <w:rFonts w:ascii="仿宋_GB2312" w:hAnsi="仿宋_GB2312" w:eastAsia="仿宋_GB2312" w:cs="仿宋_GB2312"/>
                <w:sz w:val="20"/>
                <w:szCs w:val="20"/>
              </w:rPr>
              <w:t>双面打印</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等</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刘雨桐</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1"/>
          <w:szCs w:val="21"/>
          <w:highlight w:val="none"/>
          <w:lang w:val="en-US" w:eastAsia="zh-CN"/>
        </w:rPr>
        <w:t>2025年4月29日</w:t>
      </w:r>
      <w:r>
        <w:rPr>
          <w:rFonts w:hint="default" w:ascii="Times New Roman" w:hAnsi="Times New Roman" w:eastAsia="仿宋_GB2312" w:cs="Times New Roman"/>
          <w:sz w:val="21"/>
          <w:szCs w:val="21"/>
          <w:highlight w:val="none"/>
        </w:rPr>
        <w:t xml:space="preserve"> 联系电话：</w:t>
      </w:r>
      <w:r>
        <w:rPr>
          <w:rFonts w:hint="eastAsia" w:ascii="Times New Roman" w:hAnsi="Times New Roman" w:eastAsia="仿宋_GB2312" w:cs="Times New Roman"/>
          <w:sz w:val="21"/>
          <w:szCs w:val="21"/>
          <w:highlight w:val="none"/>
          <w:lang w:val="en-US" w:eastAsia="zh-CN"/>
        </w:rPr>
        <w:t>13298504792</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Ind w:w="0" w:type="dxa"/>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岳阳市君山区商务局</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368.86</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1768.67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1768.67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1402.74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338.15</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1430.52</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365.93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紧紧围绕《政府工作报告》“年度政府工作安排”提出的部署要求，把“促消费，稳步提升社零增速；扛牢粮食安全政治责任；发展电子商务，助力产业振兴；加大扶持力度，促进开放型经济发展”作为202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年工作重点抓出成效，促进粮食产业和商贸流通行业市场主体高质量发展。</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主动适应经济发展新常态，开拓创新、务实奋进，各项经济指标平稳发展</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牵头承办大型促消费主题活动</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次</w:t>
            </w:r>
            <w:bookmarkStart w:id="0" w:name="_GoBack"/>
            <w:bookmarkEnd w:id="0"/>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发布君山一桌席</w:t>
            </w:r>
            <w:r>
              <w:rPr>
                <w:rFonts w:hint="eastAsia" w:ascii="仿宋_GB2312" w:hAnsi="仿宋_GB2312" w:eastAsia="仿宋_GB2312" w:cs="仿宋_GB2312"/>
                <w:color w:val="000000"/>
                <w:sz w:val="20"/>
                <w:szCs w:val="20"/>
                <w:highlight w:val="none"/>
                <w:lang w:eastAsia="zh-CN"/>
              </w:rPr>
              <w:t>春夏秋冬</w:t>
            </w:r>
            <w:r>
              <w:rPr>
                <w:rFonts w:hint="eastAsia" w:ascii="仿宋_GB2312" w:hAnsi="仿宋_GB2312" w:eastAsia="仿宋_GB2312" w:cs="仿宋_GB2312"/>
                <w:color w:val="000000"/>
                <w:sz w:val="20"/>
                <w:szCs w:val="20"/>
                <w:highlight w:val="none"/>
                <w:lang w:val="en-US" w:eastAsia="zh-CN"/>
              </w:rPr>
              <w:t>四季</w:t>
            </w:r>
            <w:r>
              <w:rPr>
                <w:rFonts w:hint="eastAsia" w:ascii="仿宋_GB2312" w:hAnsi="仿宋_GB2312" w:eastAsia="仿宋_GB2312" w:cs="仿宋_GB2312"/>
                <w:color w:val="000000"/>
                <w:sz w:val="20"/>
                <w:szCs w:val="20"/>
                <w:highlight w:val="none"/>
              </w:rPr>
              <w:t>特色菜品，</w:t>
            </w:r>
            <w:r>
              <w:rPr>
                <w:rFonts w:hint="eastAsia" w:ascii="仿宋_GB2312" w:hAnsi="仿宋_GB2312" w:eastAsia="仿宋_GB2312" w:cs="仿宋_GB2312"/>
                <w:color w:val="000000"/>
                <w:sz w:val="20"/>
                <w:szCs w:val="20"/>
                <w:highlight w:val="none"/>
                <w:lang w:eastAsia="zh-CN"/>
              </w:rPr>
              <w:t>推出形式多样的促销；联合家宁城市广场，开展国庆大型促销活动。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安全生产检查数</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次</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持续实施油品油质整治攻坚行动，每月一次安全检查，一线指导辖区内各加油站加快安装降温降尘喷淋及第三次油气回收系统，确保2024年城区PM2.5年均浓度在35μg/m³以内，全年优良天数比例88%以上。</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外贸企业走访</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梳理了全区间接出口企业12家，并一一上门走访了解实际情况，积极引导企业外贸业绩回流。</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安全生产隐患整改率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“破零倍增”企业数奖补程序合规</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安全生产隐患整改及时率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奖补发放及时率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严格控制财政资金使用支出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控制在预算指标内</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控制在预算指标内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壮大外贸主体</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积极引导企业外贸业绩回流</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完成3家外贸破零，进一步梳理了全区间接出口企业12家，并上门走访了解实际情况。</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消费稳步增长</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促进消费健康发展，激发市场活力</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一是</w:t>
            </w:r>
            <w:r>
              <w:rPr>
                <w:rFonts w:hint="eastAsia" w:ascii="仿宋_GB2312" w:hAnsi="仿宋_GB2312" w:eastAsia="仿宋_GB2312" w:cs="仿宋_GB2312"/>
                <w:color w:val="000000"/>
                <w:sz w:val="20"/>
                <w:szCs w:val="20"/>
                <w:highlight w:val="none"/>
                <w:lang w:eastAsia="zh-CN"/>
              </w:rPr>
              <w:t>抓好</w:t>
            </w:r>
            <w:r>
              <w:rPr>
                <w:rFonts w:hint="eastAsia" w:ascii="仿宋_GB2312" w:hAnsi="仿宋_GB2312" w:eastAsia="仿宋_GB2312" w:cs="仿宋_GB2312"/>
                <w:color w:val="000000"/>
                <w:sz w:val="20"/>
                <w:szCs w:val="20"/>
                <w:highlight w:val="none"/>
                <w:lang w:val="en-US" w:eastAsia="zh-CN"/>
              </w:rPr>
              <w:t>2024年“以旧换新”活动宣传，印制了政策口袋书2000份，</w:t>
            </w:r>
            <w:r>
              <w:rPr>
                <w:rFonts w:hint="eastAsia" w:ascii="仿宋_GB2312" w:hAnsi="仿宋_GB2312" w:eastAsia="仿宋_GB2312" w:cs="仿宋_GB2312"/>
                <w:color w:val="000000"/>
                <w:sz w:val="20"/>
                <w:szCs w:val="20"/>
                <w:highlight w:val="none"/>
                <w:lang w:eastAsia="zh-CN"/>
              </w:rPr>
              <w:t>深入推进</w:t>
            </w:r>
            <w:r>
              <w:rPr>
                <w:rFonts w:hint="eastAsia" w:ascii="仿宋_GB2312" w:hAnsi="仿宋_GB2312" w:eastAsia="仿宋_GB2312" w:cs="仿宋_GB2312"/>
                <w:color w:val="000000"/>
                <w:sz w:val="20"/>
                <w:szCs w:val="20"/>
                <w:highlight w:val="none"/>
              </w:rPr>
              <w:t>促消费品以旧换新</w:t>
            </w:r>
            <w:r>
              <w:rPr>
                <w:rFonts w:hint="eastAsia" w:ascii="仿宋_GB2312" w:hAnsi="仿宋_GB2312" w:eastAsia="仿宋_GB2312" w:cs="仿宋_GB2312"/>
                <w:color w:val="000000"/>
                <w:sz w:val="20"/>
                <w:szCs w:val="20"/>
                <w:highlight w:val="none"/>
                <w:lang w:eastAsia="zh-CN"/>
              </w:rPr>
              <w:t>行动。二是做好电商行业协会换届的工作，进一步对接知名电商平台，探索合作方式，</w:t>
            </w:r>
            <w:r>
              <w:rPr>
                <w:rFonts w:hint="eastAsia" w:ascii="仿宋_GB2312" w:hAnsi="仿宋_GB2312" w:eastAsia="仿宋_GB2312" w:cs="仿宋_GB2312"/>
                <w:color w:val="000000"/>
                <w:sz w:val="20"/>
                <w:szCs w:val="20"/>
                <w:highlight w:val="none"/>
                <w:lang w:val="en-US" w:eastAsia="zh-CN"/>
              </w:rPr>
              <w:t>持续推进</w:t>
            </w:r>
            <w:r>
              <w:rPr>
                <w:rFonts w:hint="eastAsia" w:ascii="仿宋_GB2312" w:hAnsi="仿宋_GB2312" w:eastAsia="仿宋_GB2312" w:cs="仿宋_GB2312"/>
                <w:color w:val="000000"/>
                <w:sz w:val="20"/>
                <w:szCs w:val="20"/>
                <w:highlight w:val="none"/>
                <w:lang w:eastAsia="zh-CN"/>
              </w:rPr>
              <w:t>电商赋能。三是依托节会</w:t>
            </w:r>
            <w:r>
              <w:rPr>
                <w:rFonts w:hint="eastAsia" w:ascii="仿宋_GB2312" w:hAnsi="仿宋_GB2312" w:eastAsia="仿宋_GB2312" w:cs="仿宋_GB2312"/>
                <w:color w:val="000000"/>
                <w:sz w:val="20"/>
                <w:szCs w:val="20"/>
                <w:highlight w:val="none"/>
                <w:lang w:val="en-US" w:eastAsia="zh-CN"/>
              </w:rPr>
              <w:t>促</w:t>
            </w:r>
            <w:r>
              <w:rPr>
                <w:rFonts w:hint="eastAsia" w:ascii="仿宋_GB2312" w:hAnsi="仿宋_GB2312" w:eastAsia="仿宋_GB2312" w:cs="仿宋_GB2312"/>
                <w:color w:val="000000"/>
                <w:sz w:val="20"/>
                <w:szCs w:val="20"/>
                <w:highlight w:val="none"/>
                <w:lang w:eastAsia="zh-CN"/>
              </w:rPr>
              <w:t>消费，</w:t>
            </w:r>
            <w:r>
              <w:rPr>
                <w:rFonts w:hint="eastAsia" w:ascii="仿宋_GB2312" w:hAnsi="仿宋_GB2312" w:eastAsia="仿宋_GB2312" w:cs="仿宋_GB2312"/>
                <w:color w:val="000000"/>
                <w:sz w:val="20"/>
                <w:szCs w:val="20"/>
                <w:highlight w:val="none"/>
                <w:lang w:val="en-US" w:eastAsia="zh-CN"/>
              </w:rPr>
              <w:t>通过</w:t>
            </w:r>
            <w:r>
              <w:rPr>
                <w:rFonts w:hint="eastAsia" w:ascii="仿宋_GB2312" w:hAnsi="仿宋_GB2312" w:eastAsia="仿宋_GB2312" w:cs="仿宋_GB2312"/>
                <w:color w:val="000000"/>
                <w:sz w:val="20"/>
                <w:szCs w:val="20"/>
                <w:highlight w:val="none"/>
                <w:lang w:eastAsia="zh-CN"/>
              </w:rPr>
              <w:t>成立</w:t>
            </w:r>
            <w:r>
              <w:rPr>
                <w:rFonts w:hint="eastAsia" w:ascii="仿宋_GB2312" w:hAnsi="仿宋_GB2312" w:eastAsia="仿宋_GB2312" w:cs="仿宋_GB2312"/>
                <w:color w:val="000000"/>
                <w:sz w:val="20"/>
                <w:szCs w:val="20"/>
                <w:highlight w:val="none"/>
                <w:lang w:val="en-US" w:eastAsia="zh-CN"/>
              </w:rPr>
              <w:t>的</w:t>
            </w:r>
            <w:r>
              <w:rPr>
                <w:rFonts w:hint="eastAsia" w:ascii="仿宋_GB2312" w:hAnsi="仿宋_GB2312" w:eastAsia="仿宋_GB2312" w:cs="仿宋_GB2312"/>
                <w:color w:val="000000"/>
                <w:sz w:val="20"/>
                <w:szCs w:val="20"/>
                <w:highlight w:val="none"/>
                <w:lang w:eastAsia="zh-CN"/>
              </w:rPr>
              <w:t>君山区餐饮文旅协会，发布</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lang w:eastAsia="zh-CN"/>
              </w:rPr>
              <w:t>君山一桌席</w:t>
            </w:r>
            <w:r>
              <w:rPr>
                <w:rFonts w:hint="eastAsia" w:ascii="仿宋_GB2312" w:hAnsi="仿宋_GB2312" w:eastAsia="仿宋_GB2312" w:cs="仿宋_GB2312"/>
                <w:color w:val="000000"/>
                <w:sz w:val="20"/>
                <w:szCs w:val="20"/>
                <w:highlight w:val="none"/>
                <w:lang w:val="en-US" w:eastAsia="zh-CN"/>
              </w:rPr>
              <w:t>四季</w:t>
            </w:r>
            <w:r>
              <w:rPr>
                <w:rFonts w:hint="eastAsia" w:ascii="仿宋_GB2312" w:hAnsi="仿宋_GB2312" w:eastAsia="仿宋_GB2312" w:cs="仿宋_GB2312"/>
                <w:color w:val="000000"/>
                <w:sz w:val="20"/>
                <w:szCs w:val="20"/>
                <w:highlight w:val="none"/>
                <w:lang w:eastAsia="zh-CN"/>
              </w:rPr>
              <w:t>特色菜品，并结合节假日推出形式多样的促销活动，不断提振消费，增强市场活力。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安全稳定要有新气象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和谐稳定保平安</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安全生产无事故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经费保障、制度完善</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费用开支控制在预算内，合理合规使用三公经费</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合理合规使用三公经费</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&gt;</w:t>
            </w:r>
            <w:r>
              <w:rPr>
                <w:rFonts w:hint="eastAsia" w:ascii="仿宋_GB2312" w:hAnsi="仿宋_GB2312" w:eastAsia="仿宋_GB2312" w:cs="仿宋_GB2312"/>
                <w:color w:val="000000"/>
                <w:sz w:val="20"/>
                <w:szCs w:val="20"/>
                <w:highlight w:val="none"/>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&gt;</w:t>
            </w:r>
            <w:r>
              <w:rPr>
                <w:rFonts w:hint="eastAsia" w:ascii="仿宋_GB2312" w:hAnsi="仿宋_GB2312" w:eastAsia="仿宋_GB2312" w:cs="仿宋_GB2312"/>
                <w:color w:val="000000"/>
                <w:sz w:val="20"/>
                <w:szCs w:val="20"/>
                <w:highlight w:val="none"/>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1"/>
          <w:szCs w:val="21"/>
          <w:highlight w:val="none"/>
        </w:rPr>
        <w:t>填表人：</w:t>
      </w:r>
      <w:r>
        <w:rPr>
          <w:rFonts w:hint="eastAsia" w:ascii="Times New Roman" w:hAnsi="Times New Roman" w:eastAsia="仿宋_GB2312" w:cs="Times New Roman"/>
          <w:sz w:val="21"/>
          <w:szCs w:val="21"/>
          <w:highlight w:val="none"/>
          <w:lang w:eastAsia="zh-CN"/>
        </w:rPr>
        <w:t>刘雨桐</w:t>
      </w:r>
      <w:r>
        <w:rPr>
          <w:rFonts w:hint="eastAsia"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填报日期：</w:t>
      </w:r>
      <w:r>
        <w:rPr>
          <w:rFonts w:hint="eastAsia" w:ascii="Times New Roman" w:hAnsi="Times New Roman" w:eastAsia="仿宋_GB2312" w:cs="Times New Roman"/>
          <w:sz w:val="21"/>
          <w:szCs w:val="21"/>
          <w:highlight w:val="none"/>
          <w:lang w:val="en-US" w:eastAsia="zh-CN"/>
        </w:rPr>
        <w:t>2025年4月29日</w:t>
      </w:r>
      <w:r>
        <w:rPr>
          <w:rFonts w:hint="default" w:ascii="Times New Roman" w:hAnsi="Times New Roman" w:eastAsia="仿宋_GB2312" w:cs="Times New Roman"/>
          <w:sz w:val="21"/>
          <w:szCs w:val="21"/>
          <w:highlight w:val="none"/>
        </w:rPr>
        <w:t xml:space="preserve"> 联系电话：</w:t>
      </w:r>
      <w:r>
        <w:rPr>
          <w:rFonts w:hint="eastAsia" w:ascii="Times New Roman" w:hAnsi="Times New Roman" w:eastAsia="仿宋_GB2312" w:cs="Times New Roman"/>
          <w:sz w:val="21"/>
          <w:szCs w:val="21"/>
          <w:highlight w:val="none"/>
          <w:lang w:val="en-US" w:eastAsia="zh-CN"/>
        </w:rPr>
        <w:t>13298504792</w:t>
      </w:r>
      <w:r>
        <w:rPr>
          <w:rFonts w:hint="default" w:ascii="Times New Roman" w:hAnsi="Times New Roman" w:eastAsia="仿宋_GB2312" w:cs="Times New Roman"/>
          <w:sz w:val="21"/>
          <w:szCs w:val="21"/>
          <w:highlight w:val="none"/>
        </w:rPr>
        <w:t>单位负责人签字：</w:t>
      </w:r>
      <w:r>
        <w:rPr>
          <w:rFonts w:hint="default" w:ascii="Times New Roman" w:hAnsi="Times New Roman" w:eastAsia="仿宋_GB2312" w:cs="Times New Roman"/>
          <w:sz w:val="21"/>
          <w:szCs w:val="21"/>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Ind w:w="0" w:type="dxa"/>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粮食储备和轮换</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根据湖南省粮食和物资储备局关于做好2019年粮食收购监管工作的通知（湘粮执[2019]65号）、关于做好政策性粮食销售出库监管工作的通知（湘粮执[2019]91号）、关于印发《君山区落实粮食安全省长责任制考核办法》的通知（君政办发[2017]20号）、省政府办公厅《关于进一步增加我省地方粮食储备规模的通知》（湘政办函[2015]142号）、市政府办公室2016年2月1日下发了《关于进一步增加我市地方粮食储备规模的通知》（岳政函[2015]256号），为落实粮食安全地方行政首长负责制，区人民政府储备3000吨区级储备粮，用于调节所辖行政区域内粮食供求总量以及应对重大自然灾害或其他突发事件。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纳入岳阳市粮食安全责任制考核范畴</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地方储备粮完成下达计划</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3000吨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3000吨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根据</w:t>
            </w:r>
            <w:r>
              <w:rPr>
                <w:rFonts w:hint="eastAsia" w:ascii="仿宋_GB2312" w:hAnsi="仿宋_GB2312" w:eastAsia="仿宋_GB2312" w:cs="仿宋_GB2312"/>
                <w:color w:val="000000"/>
                <w:sz w:val="20"/>
                <w:szCs w:val="20"/>
                <w:highlight w:val="none"/>
              </w:rPr>
              <w:t>《湖南省地方储备粮管理办法》《君山区区级储备粮管理办法》</w:t>
            </w:r>
            <w:r>
              <w:rPr>
                <w:rFonts w:hint="eastAsia" w:ascii="仿宋_GB2312" w:hAnsi="仿宋_GB2312" w:eastAsia="仿宋_GB2312" w:cs="仿宋_GB2312"/>
                <w:color w:val="000000"/>
                <w:sz w:val="20"/>
                <w:szCs w:val="20"/>
                <w:highlight w:val="none"/>
                <w:lang w:val="en-US" w:eastAsia="zh-CN"/>
              </w:rPr>
              <w:t>保质保量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质量良好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质量良好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本年内</w:t>
            </w:r>
            <w:r>
              <w:rPr>
                <w:rFonts w:hint="eastAsia" w:ascii="仿宋_GB2312" w:hAnsi="仿宋_GB2312" w:eastAsia="仿宋_GB2312" w:cs="仿宋_GB2312"/>
                <w:color w:val="000000"/>
                <w:sz w:val="20"/>
                <w:szCs w:val="20"/>
                <w:highlight w:val="none"/>
              </w:rPr>
              <w:t>实行按计划均衡轮换制度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数量真实、质量良好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保证中心城区3个月口粮供应、稳定粮食市场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2100吨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2100吨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调节君山区粮食供应总量、应对重大自然灾害或其他突发公共灾害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保供稳价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供应平衡、突发灾害口粮供应</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稳定粮食市场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2100吨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保证中心城区3个月口粮供应、稳定粮食市场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保供稳价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调节君山区粮食供应总量、应对重大自然灾害或其他突发公共灾害</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供应平衡、突发灾害口粮供应</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改善粮食生态环境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提高抗灾能力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可以保证灾民生产自救</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居民满意度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&gt;</w:t>
            </w:r>
            <w:r>
              <w:rPr>
                <w:rFonts w:hint="eastAsia" w:ascii="仿宋_GB2312" w:hAnsi="宋体" w:eastAsia="仿宋_GB2312" w:cs="宋体"/>
                <w:kern w:val="0"/>
                <w:sz w:val="24"/>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居民满意度&gt;</w:t>
            </w:r>
            <w:r>
              <w:rPr>
                <w:rFonts w:hint="eastAsia" w:ascii="仿宋_GB2312" w:hAnsi="宋体" w:eastAsia="仿宋_GB2312" w:cs="宋体"/>
                <w:kern w:val="0"/>
                <w:sz w:val="24"/>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刘雨桐</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2024年6月24日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13298504792</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君山区商务局</w:t>
      </w:r>
      <w:r>
        <w:rPr>
          <w:rFonts w:hint="eastAsia" w:ascii="方正小标宋简体" w:hAnsi="方正小标宋简体" w:eastAsia="方正小标宋简体" w:cs="方正小标宋简体"/>
          <w:sz w:val="44"/>
          <w:szCs w:val="44"/>
          <w:highlight w:val="none"/>
        </w:rPr>
        <w:t>部门整体支出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29</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君山区商务局</w:t>
      </w:r>
      <w:r>
        <w:rPr>
          <w:rFonts w:hint="eastAsia" w:ascii="方正小标宋简体" w:hAnsi="方正小标宋简体" w:eastAsia="方正小标宋简体" w:cs="方正小标宋简体"/>
          <w:sz w:val="44"/>
          <w:szCs w:val="44"/>
          <w:highlight w:val="none"/>
        </w:rPr>
        <w:t>部门整体支出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pPr>
        <w:spacing w:line="480" w:lineRule="exact"/>
        <w:ind w:firstLine="640" w:firstLineChars="200"/>
        <w:rPr>
          <w:rFonts w:hint="eastAsia" w:ascii="仿宋_GB2312" w:hAnsi="宋体" w:eastAsia="仿宋_GB2312" w:cs="仿宋"/>
          <w:bCs/>
          <w:sz w:val="32"/>
          <w:szCs w:val="32"/>
        </w:rPr>
      </w:pPr>
      <w:r>
        <w:rPr>
          <w:rFonts w:hint="eastAsia" w:ascii="仿宋_GB2312" w:hAnsi="宋体" w:eastAsia="仿宋_GB2312" w:cs="仿宋"/>
          <w:bCs/>
          <w:sz w:val="32"/>
          <w:szCs w:val="32"/>
        </w:rPr>
        <w:t>本单位是区财政金额预算拨款单位，是我区贯彻落实执行国家、省、市有关内外贸易、国际经济合作、现代粮食流通产业的发展战略、方针、政策的职能部门，主要职责是研究提出企业商贸体制改革、培育发展城市市场、推动流通产业结构和连锁经营、物流配送、电子商务等现代流通方式。现有人数</w:t>
      </w:r>
      <w:r>
        <w:rPr>
          <w:rFonts w:hint="eastAsia" w:ascii="仿宋_GB2312" w:hAnsi="宋体" w:eastAsia="仿宋_GB2312" w:cs="仿宋"/>
          <w:bCs/>
          <w:sz w:val="32"/>
          <w:szCs w:val="32"/>
          <w:lang w:val="en-US" w:eastAsia="zh-CN"/>
        </w:rPr>
        <w:t>15</w:t>
      </w:r>
      <w:r>
        <w:rPr>
          <w:rFonts w:hint="eastAsia" w:ascii="仿宋_GB2312" w:hAnsi="宋体" w:eastAsia="仿宋_GB2312" w:cs="仿宋"/>
          <w:bCs/>
          <w:sz w:val="32"/>
          <w:szCs w:val="32"/>
        </w:rPr>
        <w:t>人。</w:t>
      </w:r>
    </w:p>
    <w:p>
      <w:pPr>
        <w:spacing w:line="480" w:lineRule="exact"/>
        <w:ind w:firstLine="640" w:firstLineChars="200"/>
        <w:rPr>
          <w:rFonts w:hint="default" w:ascii="Times New Roman" w:hAnsi="Times New Roman" w:eastAsia="黑体" w:cs="Times New Roman"/>
          <w:sz w:val="32"/>
          <w:szCs w:val="32"/>
          <w:highlight w:val="none"/>
          <w:lang w:val="en-US" w:eastAsia="zh-CN"/>
        </w:rPr>
      </w:pPr>
      <w:r>
        <w:rPr>
          <w:rFonts w:hint="eastAsia" w:ascii="仿宋_GB2312" w:hAnsi="宋体" w:eastAsia="仿宋_GB2312" w:cs="仿宋"/>
          <w:bCs/>
          <w:sz w:val="32"/>
          <w:szCs w:val="32"/>
        </w:rPr>
        <w:t>我局设办公室、内贸股、外贸和招商投资股共</w:t>
      </w:r>
      <w:r>
        <w:rPr>
          <w:rFonts w:hint="eastAsia" w:ascii="仿宋_GB2312" w:hAnsi="宋体" w:eastAsia="仿宋_GB2312" w:cs="仿宋"/>
          <w:bCs/>
          <w:sz w:val="32"/>
          <w:szCs w:val="32"/>
          <w:lang w:val="en-US" w:eastAsia="zh-CN"/>
        </w:rPr>
        <w:t>3</w:t>
      </w:r>
      <w:r>
        <w:rPr>
          <w:rFonts w:hint="eastAsia" w:ascii="仿宋_GB2312" w:hAnsi="宋体" w:eastAsia="仿宋_GB2312" w:cs="仿宋"/>
          <w:bCs/>
          <w:sz w:val="32"/>
          <w:szCs w:val="32"/>
        </w:rPr>
        <w:t>个业务股室。</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480" w:lineRule="exact"/>
        <w:ind w:firstLine="640" w:firstLineChars="200"/>
        <w:rPr>
          <w:rFonts w:hint="default" w:ascii="Times New Roman" w:hAnsi="Times New Roman" w:eastAsia="楷体_GB2312" w:cs="Times New Roman"/>
          <w:b/>
          <w:sz w:val="32"/>
          <w:szCs w:val="32"/>
          <w:highlight w:val="none"/>
        </w:rPr>
      </w:pPr>
      <w:r>
        <w:rPr>
          <w:rFonts w:hint="eastAsia" w:ascii="仿宋_GB2312" w:hAnsi="宋体" w:eastAsia="仿宋_GB2312" w:cs="仿宋"/>
          <w:bCs/>
          <w:color w:val="auto"/>
          <w:sz w:val="32"/>
          <w:szCs w:val="32"/>
          <w:highlight w:val="none"/>
        </w:rPr>
        <w:t>202</w:t>
      </w:r>
      <w:r>
        <w:rPr>
          <w:rFonts w:hint="eastAsia" w:ascii="仿宋_GB2312" w:hAnsi="宋体" w:eastAsia="仿宋_GB2312" w:cs="仿宋"/>
          <w:bCs/>
          <w:color w:val="auto"/>
          <w:sz w:val="32"/>
          <w:szCs w:val="32"/>
          <w:highlight w:val="none"/>
          <w:lang w:val="en-US" w:eastAsia="zh-CN"/>
        </w:rPr>
        <w:t>4</w:t>
      </w:r>
      <w:r>
        <w:rPr>
          <w:rFonts w:hint="eastAsia" w:ascii="仿宋_GB2312" w:hAnsi="宋体" w:eastAsia="仿宋_GB2312" w:cs="仿宋"/>
          <w:bCs/>
          <w:color w:val="auto"/>
          <w:sz w:val="32"/>
          <w:szCs w:val="32"/>
          <w:highlight w:val="none"/>
        </w:rPr>
        <w:t>年度本部门基本支出</w:t>
      </w:r>
      <w:r>
        <w:rPr>
          <w:rFonts w:hint="eastAsia" w:ascii="仿宋_GB2312" w:hAnsi="仿宋_GB2312" w:eastAsia="仿宋_GB2312" w:cs="仿宋_GB2312"/>
          <w:color w:val="000000"/>
          <w:sz w:val="32"/>
          <w:szCs w:val="32"/>
          <w:highlight w:val="none"/>
          <w:lang w:val="en-US" w:eastAsia="zh-CN"/>
        </w:rPr>
        <w:t>338.15</w:t>
      </w:r>
      <w:r>
        <w:rPr>
          <w:rFonts w:hint="eastAsia" w:ascii="仿宋_GB2312" w:hAnsi="宋体" w:eastAsia="仿宋_GB2312" w:cs="仿宋"/>
          <w:bCs/>
          <w:color w:val="auto"/>
          <w:sz w:val="32"/>
          <w:szCs w:val="32"/>
          <w:highlight w:val="none"/>
        </w:rPr>
        <w:t>万元，主要用于发放行政人员、事业人员工资及</w:t>
      </w:r>
      <w:r>
        <w:rPr>
          <w:rFonts w:hint="eastAsia" w:ascii="仿宋_GB2312" w:hAnsi="宋体" w:eastAsia="仿宋_GB2312" w:cs="仿宋"/>
          <w:bCs/>
          <w:color w:val="auto"/>
          <w:sz w:val="32"/>
          <w:szCs w:val="32"/>
          <w:highlight w:val="none"/>
          <w:lang w:eastAsia="zh-CN"/>
        </w:rPr>
        <w:t>工会经费</w:t>
      </w:r>
      <w:r>
        <w:rPr>
          <w:rFonts w:hint="eastAsia" w:ascii="仿宋_GB2312" w:hAnsi="宋体" w:eastAsia="仿宋_GB2312" w:cs="仿宋"/>
          <w:bCs/>
          <w:color w:val="auto"/>
          <w:sz w:val="32"/>
          <w:szCs w:val="32"/>
          <w:highlight w:val="none"/>
        </w:rPr>
        <w:t>，支付机关退休人员生活补贴等</w:t>
      </w:r>
      <w:r>
        <w:rPr>
          <w:rFonts w:hint="eastAsia" w:ascii="仿宋_GB2312" w:hAnsi="宋体" w:eastAsia="仿宋_GB2312" w:cs="仿宋"/>
          <w:bCs/>
          <w:color w:val="auto"/>
          <w:sz w:val="32"/>
          <w:szCs w:val="32"/>
          <w:highlight w:val="none"/>
          <w:lang w:val="en-US" w:eastAsia="zh-CN"/>
        </w:rPr>
        <w:t>以及</w:t>
      </w:r>
      <w:r>
        <w:rPr>
          <w:rFonts w:hint="eastAsia" w:ascii="仿宋_GB2312" w:hAnsi="宋体" w:eastAsia="仿宋_GB2312" w:cs="仿宋"/>
          <w:bCs/>
          <w:color w:val="auto"/>
          <w:sz w:val="32"/>
          <w:szCs w:val="32"/>
          <w:highlight w:val="none"/>
        </w:rPr>
        <w:t>保障机关正常运转所需开支的办公费、差旅费、招待费、水电费等</w:t>
      </w:r>
      <w:r>
        <w:rPr>
          <w:rFonts w:hint="eastAsia" w:ascii="仿宋_GB2312" w:hAnsi="宋体" w:eastAsia="仿宋_GB2312" w:cs="仿宋"/>
          <w:bCs/>
          <w:color w:val="auto"/>
          <w:sz w:val="32"/>
          <w:szCs w:val="32"/>
          <w:highlight w:val="none"/>
          <w:lang w:eastAsia="zh-CN"/>
        </w:rPr>
        <w:t>行政运行经费</w:t>
      </w:r>
      <w:r>
        <w:rPr>
          <w:rFonts w:hint="eastAsia" w:ascii="仿宋_GB2312" w:hAnsi="宋体" w:eastAsia="仿宋_GB2312" w:cs="仿宋"/>
          <w:bCs/>
          <w:color w:val="auto"/>
          <w:sz w:val="32"/>
          <w:szCs w:val="32"/>
          <w:highlight w:val="none"/>
        </w:rPr>
        <w:t>。</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color w:val="auto"/>
          <w:sz w:val="24"/>
          <w:highlight w:val="none"/>
        </w:rPr>
      </w:pPr>
      <w:r>
        <w:rPr>
          <w:rFonts w:hint="default" w:ascii="Times New Roman" w:hAnsi="Times New Roman" w:eastAsia="楷体_GB2312" w:cs="Times New Roman"/>
          <w:b/>
          <w:sz w:val="32"/>
          <w:szCs w:val="32"/>
          <w:highlight w:val="none"/>
        </w:rPr>
        <w:t>项目支出情况</w:t>
      </w:r>
    </w:p>
    <w:p>
      <w:pPr>
        <w:spacing w:line="480" w:lineRule="exact"/>
        <w:ind w:firstLine="640" w:firstLineChars="200"/>
        <w:rPr>
          <w:rFonts w:hint="default" w:ascii="Times New Roman" w:hAnsi="Times New Roman" w:eastAsia="仿宋_GB2312" w:cs="Times New Roman"/>
          <w:b/>
          <w:sz w:val="32"/>
          <w:szCs w:val="32"/>
          <w:highlight w:val="yellow"/>
          <w:lang w:val="en-US" w:eastAsia="zh-CN"/>
        </w:rPr>
      </w:pPr>
      <w:r>
        <w:rPr>
          <w:rFonts w:hint="eastAsia" w:ascii="仿宋_GB2312" w:hAnsi="宋体" w:eastAsia="仿宋_GB2312" w:cs="仿宋"/>
          <w:bCs/>
          <w:color w:val="auto"/>
          <w:sz w:val="32"/>
          <w:szCs w:val="32"/>
          <w:highlight w:val="none"/>
        </w:rPr>
        <w:t>局机关项目支出</w:t>
      </w:r>
      <w:r>
        <w:rPr>
          <w:rFonts w:hint="eastAsia" w:ascii="仿宋_GB2312" w:hAnsi="仿宋_GB2312" w:eastAsia="仿宋_GB2312" w:cs="仿宋_GB2312"/>
          <w:color w:val="000000"/>
          <w:sz w:val="32"/>
          <w:szCs w:val="32"/>
          <w:highlight w:val="none"/>
          <w:lang w:val="en-US" w:eastAsia="zh-CN"/>
        </w:rPr>
        <w:t>1430.52</w:t>
      </w:r>
      <w:r>
        <w:rPr>
          <w:rFonts w:hint="eastAsia" w:ascii="仿宋_GB2312" w:hAnsi="宋体" w:eastAsia="仿宋_GB2312" w:cs="仿宋"/>
          <w:bCs/>
          <w:color w:val="auto"/>
          <w:sz w:val="32"/>
          <w:szCs w:val="32"/>
          <w:highlight w:val="none"/>
        </w:rPr>
        <w:t>万元，主要用</w:t>
      </w:r>
      <w:r>
        <w:rPr>
          <w:rFonts w:hint="eastAsia" w:ascii="仿宋_GB2312" w:hAnsi="宋体" w:eastAsia="仿宋_GB2312" w:cs="仿宋"/>
          <w:bCs/>
          <w:color w:val="auto"/>
          <w:sz w:val="32"/>
          <w:szCs w:val="32"/>
          <w:highlight w:val="none"/>
          <w:lang w:val="en-US" w:eastAsia="zh-CN"/>
        </w:rPr>
        <w:t>于粮油物资储备支出388.23万、农林水支出42.63万、商业服务业支出366.82万元</w:t>
      </w:r>
      <w:r>
        <w:rPr>
          <w:rFonts w:hint="eastAsia" w:ascii="仿宋_GB2312" w:hAnsi="宋体" w:eastAsia="仿宋_GB2312" w:cs="仿宋"/>
          <w:bCs/>
          <w:color w:val="auto"/>
          <w:sz w:val="32"/>
          <w:szCs w:val="32"/>
          <w:highlight w:val="none"/>
          <w:lang w:eastAsia="zh-CN"/>
        </w:rPr>
        <w:t>、商贸事务</w:t>
      </w:r>
      <w:r>
        <w:rPr>
          <w:rFonts w:hint="eastAsia" w:ascii="仿宋_GB2312" w:hAnsi="宋体" w:eastAsia="仿宋_GB2312" w:cs="仿宋"/>
          <w:bCs/>
          <w:color w:val="auto"/>
          <w:sz w:val="32"/>
          <w:szCs w:val="32"/>
          <w:highlight w:val="none"/>
          <w:lang w:val="en-US" w:eastAsia="zh-CN"/>
        </w:rPr>
        <w:t>632.84万元.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无</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多措并举促消费。一是</w:t>
      </w:r>
      <w:r>
        <w:rPr>
          <w:rFonts w:hint="default" w:ascii="Times New Roman" w:hAnsi="Times New Roman" w:eastAsia="仿宋_GB2312" w:cs="Times New Roman"/>
          <w:sz w:val="32"/>
          <w:szCs w:val="32"/>
          <w:highlight w:val="none"/>
          <w:lang w:eastAsia="zh-CN"/>
        </w:rPr>
        <w:t>抓好</w:t>
      </w:r>
      <w:r>
        <w:rPr>
          <w:rFonts w:hint="default" w:ascii="Times New Roman" w:hAnsi="Times New Roman" w:eastAsia="仿宋_GB2312" w:cs="Times New Roman"/>
          <w:sz w:val="32"/>
          <w:szCs w:val="32"/>
          <w:highlight w:val="none"/>
          <w:lang w:val="en-US" w:eastAsia="zh-CN"/>
        </w:rPr>
        <w:t>2024年汽车、家电、电动自行车和厨卫“以旧换新”活动宣传，印制了政策口袋书2000份，</w:t>
      </w:r>
      <w:r>
        <w:rPr>
          <w:rFonts w:hint="default" w:ascii="Times New Roman" w:hAnsi="Times New Roman" w:eastAsia="仿宋_GB2312" w:cs="Times New Roman"/>
          <w:sz w:val="32"/>
          <w:szCs w:val="32"/>
          <w:highlight w:val="none"/>
          <w:lang w:eastAsia="zh-CN"/>
        </w:rPr>
        <w:t>深入推进</w:t>
      </w:r>
      <w:r>
        <w:rPr>
          <w:rFonts w:hint="default" w:ascii="Times New Roman" w:hAnsi="Times New Roman" w:eastAsia="仿宋_GB2312" w:cs="Times New Roman"/>
          <w:sz w:val="32"/>
          <w:szCs w:val="32"/>
          <w:highlight w:val="none"/>
        </w:rPr>
        <w:t>促消费品以旧换新</w:t>
      </w:r>
      <w:r>
        <w:rPr>
          <w:rFonts w:hint="default" w:ascii="Times New Roman" w:hAnsi="Times New Roman" w:eastAsia="仿宋_GB2312" w:cs="Times New Roman"/>
          <w:sz w:val="32"/>
          <w:szCs w:val="32"/>
          <w:highlight w:val="none"/>
          <w:lang w:eastAsia="zh-CN"/>
        </w:rPr>
        <w:t>行动。</w:t>
      </w:r>
      <w:r>
        <w:rPr>
          <w:rFonts w:hint="default" w:ascii="Times New Roman" w:hAnsi="Times New Roman" w:eastAsia="仿宋_GB2312" w:cs="Times New Roman"/>
          <w:sz w:val="32"/>
          <w:szCs w:val="32"/>
          <w:highlight w:val="none"/>
        </w:rPr>
        <w:t>二是</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电商行业协会换届</w:t>
      </w:r>
      <w:r>
        <w:rPr>
          <w:rFonts w:hint="default" w:ascii="Times New Roman" w:hAnsi="Times New Roman" w:eastAsia="仿宋_GB2312" w:cs="Times New Roman"/>
          <w:sz w:val="32"/>
          <w:szCs w:val="32"/>
          <w:highlight w:val="none"/>
          <w:lang w:eastAsia="zh-CN"/>
        </w:rPr>
        <w:t>的前期</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eastAsia="zh-CN"/>
        </w:rPr>
        <w:t>，进一步对接重庆大龙网科技、江苏华域天诚科技、重庆渝合励志文化传媒等知名</w:t>
      </w:r>
      <w:r>
        <w:rPr>
          <w:rFonts w:hint="default" w:ascii="Times New Roman" w:hAnsi="Times New Roman" w:eastAsia="仿宋_GB2312" w:cs="Times New Roman"/>
          <w:sz w:val="32"/>
          <w:szCs w:val="32"/>
          <w:highlight w:val="none"/>
        </w:rPr>
        <w:t>电商平台</w:t>
      </w:r>
      <w:r>
        <w:rPr>
          <w:rFonts w:hint="default" w:ascii="Times New Roman" w:hAnsi="Times New Roman" w:eastAsia="仿宋_GB2312" w:cs="Times New Roman"/>
          <w:sz w:val="32"/>
          <w:szCs w:val="32"/>
          <w:highlight w:val="none"/>
          <w:lang w:eastAsia="zh-CN"/>
        </w:rPr>
        <w:t>，探索合作方式</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持续推进</w:t>
      </w:r>
      <w:r>
        <w:rPr>
          <w:rFonts w:hint="default" w:ascii="Times New Roman" w:hAnsi="Times New Roman" w:eastAsia="仿宋_GB2312" w:cs="Times New Roman"/>
          <w:sz w:val="32"/>
          <w:szCs w:val="32"/>
          <w:highlight w:val="none"/>
        </w:rPr>
        <w:t>电商</w:t>
      </w:r>
      <w:r>
        <w:rPr>
          <w:rFonts w:hint="default" w:ascii="Times New Roman" w:hAnsi="Times New Roman" w:eastAsia="仿宋_GB2312" w:cs="Times New Roman"/>
          <w:sz w:val="32"/>
          <w:szCs w:val="32"/>
          <w:highlight w:val="none"/>
          <w:lang w:eastAsia="zh-CN"/>
        </w:rPr>
        <w:t>赋能</w:t>
      </w:r>
      <w:r>
        <w:rPr>
          <w:rFonts w:hint="default" w:ascii="Times New Roman" w:hAnsi="Times New Roman" w:eastAsia="仿宋_GB2312" w:cs="Times New Roman"/>
          <w:sz w:val="32"/>
          <w:szCs w:val="32"/>
          <w:highlight w:val="none"/>
        </w:rPr>
        <w:t>。三是依托节会</w:t>
      </w:r>
      <w:r>
        <w:rPr>
          <w:rFonts w:hint="default" w:ascii="Times New Roman" w:hAnsi="Times New Roman" w:eastAsia="仿宋_GB2312" w:cs="Times New Roman"/>
          <w:sz w:val="32"/>
          <w:szCs w:val="32"/>
          <w:highlight w:val="none"/>
          <w:lang w:val="en-US" w:eastAsia="zh-CN"/>
        </w:rPr>
        <w:t>促</w:t>
      </w:r>
      <w:r>
        <w:rPr>
          <w:rFonts w:hint="default" w:ascii="Times New Roman" w:hAnsi="Times New Roman" w:eastAsia="仿宋_GB2312" w:cs="Times New Roman"/>
          <w:sz w:val="32"/>
          <w:szCs w:val="32"/>
          <w:highlight w:val="none"/>
        </w:rPr>
        <w:t>消费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rPr>
        <w:t>成立</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君山区餐饮文旅协会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发布</w:t>
      </w:r>
      <w:r>
        <w:rPr>
          <w:rFonts w:hint="default"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rPr>
        <w:t>君山一桌席</w:t>
      </w:r>
      <w:r>
        <w:rPr>
          <w:rFonts w:hint="default" w:ascii="Times New Roman" w:hAnsi="Times New Roman" w:eastAsia="仿宋_GB2312" w:cs="Times New Roman"/>
          <w:sz w:val="32"/>
          <w:szCs w:val="32"/>
          <w:highlight w:val="none"/>
          <w:lang w:val="en-US" w:eastAsia="zh-CN"/>
        </w:rPr>
        <w:t>四季</w:t>
      </w:r>
      <w:r>
        <w:rPr>
          <w:rFonts w:hint="default" w:ascii="Times New Roman" w:hAnsi="Times New Roman" w:eastAsia="仿宋_GB2312" w:cs="Times New Roman"/>
          <w:sz w:val="32"/>
          <w:szCs w:val="32"/>
          <w:highlight w:val="none"/>
        </w:rPr>
        <w:t>特色菜品，</w:t>
      </w:r>
      <w:r>
        <w:rPr>
          <w:rFonts w:hint="default" w:ascii="Times New Roman" w:hAnsi="Times New Roman" w:eastAsia="仿宋_GB2312" w:cs="Times New Roman"/>
          <w:sz w:val="32"/>
          <w:szCs w:val="32"/>
          <w:highlight w:val="none"/>
          <w:lang w:eastAsia="zh-CN"/>
        </w:rPr>
        <w:t>并结合节假日推出形式多样的促销活动，不断提振消费，增强市场活力。今</w:t>
      </w:r>
      <w:r>
        <w:rPr>
          <w:rFonts w:hint="default" w:ascii="Times New Roman" w:hAnsi="Times New Roman" w:eastAsia="仿宋_GB2312" w:cs="Times New Roman"/>
          <w:sz w:val="32"/>
          <w:szCs w:val="32"/>
          <w:highlight w:val="none"/>
        </w:rPr>
        <w:t>年1-</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highlight w:val="none"/>
        </w:rPr>
        <w:t>区社会消费品零售总额完成</w:t>
      </w:r>
      <w:r>
        <w:rPr>
          <w:rFonts w:hint="default" w:ascii="Times New Roman" w:hAnsi="Times New Roman" w:eastAsia="仿宋_GB2312" w:cs="Times New Roman"/>
          <w:sz w:val="32"/>
          <w:szCs w:val="32"/>
          <w:highlight w:val="none"/>
          <w:lang w:val="en-US" w:eastAsia="zh-CN"/>
        </w:rPr>
        <w:t>55.91亿</w:t>
      </w:r>
      <w:r>
        <w:rPr>
          <w:rFonts w:hint="default" w:ascii="Times New Roman" w:hAnsi="Times New Roman" w:eastAsia="仿宋_GB2312" w:cs="Times New Roman"/>
          <w:sz w:val="32"/>
          <w:szCs w:val="32"/>
          <w:highlight w:val="none"/>
        </w:rPr>
        <w:t>元，增速</w:t>
      </w:r>
      <w:r>
        <w:rPr>
          <w:rFonts w:hint="default" w:ascii="Times New Roman" w:hAnsi="Times New Roman" w:eastAsia="仿宋_GB2312" w:cs="Times New Roman"/>
          <w:sz w:val="32"/>
          <w:szCs w:val="32"/>
          <w:highlight w:val="none"/>
          <w:lang w:val="en-US" w:eastAsia="zh-CN"/>
        </w:rPr>
        <w:t>6.7</w:t>
      </w:r>
      <w:r>
        <w:rPr>
          <w:rFonts w:hint="default" w:ascii="Times New Roman" w:hAnsi="Times New Roman" w:eastAsia="仿宋_GB2312" w:cs="Times New Roman"/>
          <w:sz w:val="32"/>
          <w:szCs w:val="32"/>
          <w:highlight w:val="none"/>
        </w:rPr>
        <w:t>%，增速排名全市第</w:t>
      </w:r>
      <w:r>
        <w:rPr>
          <w:rFonts w:hint="default" w:ascii="Times New Roman" w:hAnsi="Times New Roman" w:eastAsia="仿宋_GB2312" w:cs="Times New Roman"/>
          <w:sz w:val="32"/>
          <w:szCs w:val="32"/>
          <w:highlight w:val="none"/>
          <w:lang w:val="en-US" w:eastAsia="zh-CN"/>
        </w:rPr>
        <w:t>四、七区第一。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2、外贸工作有突破。完成3家外贸破零。</w:t>
      </w:r>
      <w:r>
        <w:rPr>
          <w:rFonts w:hint="default" w:ascii="Times New Roman" w:hAnsi="Times New Roman" w:eastAsia="仿宋_GB2312" w:cs="Times New Roman"/>
          <w:sz w:val="32"/>
          <w:szCs w:val="32"/>
          <w:highlight w:val="none"/>
        </w:rPr>
        <w:t>外贸有实绩企业1</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其中，外贸</w:t>
      </w:r>
      <w:r>
        <w:rPr>
          <w:rFonts w:hint="default" w:ascii="Times New Roman" w:hAnsi="Times New Roman" w:eastAsia="仿宋_GB2312" w:cs="Times New Roman"/>
          <w:sz w:val="32"/>
          <w:szCs w:val="32"/>
          <w:highlight w:val="none"/>
        </w:rPr>
        <w:t>破零企业</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家：</w:t>
      </w:r>
      <w:r>
        <w:rPr>
          <w:rFonts w:hint="default" w:ascii="Times New Roman" w:hAnsi="Times New Roman" w:eastAsia="仿宋_GB2312" w:cs="Times New Roman"/>
          <w:sz w:val="32"/>
          <w:szCs w:val="32"/>
          <w:highlight w:val="none"/>
          <w:lang w:val="en-US" w:eastAsia="zh-CN"/>
        </w:rPr>
        <w:t>岳阳天添胶囊股份有限公司（</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月完成</w:t>
      </w:r>
      <w:r>
        <w:rPr>
          <w:rFonts w:hint="default" w:ascii="Times New Roman" w:hAnsi="Times New Roman" w:eastAsia="仿宋_GB2312" w:cs="Times New Roman"/>
          <w:sz w:val="32"/>
          <w:szCs w:val="32"/>
          <w:highlight w:val="none"/>
          <w:lang w:val="en-US" w:eastAsia="zh-CN"/>
        </w:rPr>
        <w:t>进出口36</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、交投物资贸易公司（</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月完成</w:t>
      </w:r>
      <w:r>
        <w:rPr>
          <w:rFonts w:hint="default" w:ascii="Times New Roman" w:hAnsi="Times New Roman" w:eastAsia="仿宋_GB2312" w:cs="Times New Roman"/>
          <w:sz w:val="32"/>
          <w:szCs w:val="32"/>
          <w:highlight w:val="none"/>
          <w:lang w:val="en-US" w:eastAsia="zh-CN"/>
        </w:rPr>
        <w:t>进出口248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）；进一步梳理了全区间接出口企业12家，并一一上门走访了解实际情况，积极引导企业外贸业绩回流。</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招大引强有实绩。1-8月我区新签约项目50个，总投资39.911亿元，其中亿元以上项目12个，5亿元以上项目1个，2亿元以上项目4个（超市定目标任务1个），“三类500强”企业1家（完成市定目标任务）。在全市1-8月招商引资考核三类单位中排名第一，湘商回归新注册湘商企业数排名全市第二（1-8月，君山区新注册湘商回归企业7家，到位资金18.5亿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县域商业体系有提升。我区通过2024年县域商业分型县验收评估工作，从2023年的基础型提升为增强型；成品油“打非治违”工作有序开展，废旧汽车回收拆解工作全市有特色；持续实施油品油质整治攻坚行动，一线指导辖区内各加油站加快安装降温降尘喷淋及第三次油气回收系统，确保2024年城区PM2.5年均浓度在35μg/m³以内，全年优良天数比例88%以上，全市环境空气质量达标，进一步巩固了我区绿色、循环、低碳的发展环境成果。</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社零数据后劲不足。一是我区现有限额以上企业数量少、企业规模状况滞后，部分企业经营运行状况不佳，培育和新增限额以上企业难度大。二是我区现阶段缺乏支柱企业、较大规模电商平台，对消费持续增长的拉动作用不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外贸经济总量不大。一是外贸主体不均衡，市场拓展难度大。2023年过千万元以上的生产型企业仅家福家纺1家，外贸企业偏小偏弱，严重制约外贸企业长期性持续性发展。二是专业人才缺乏，发展氛围不浓。大多数企业规模小，考虑成本问题从事外贸岗位的职工属于兼职，缺乏专业人才拓展外贸业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招商项目落地瓶颈多。目前存在现代农业项目受耕地保护制约，存量资产盘活处理遗留问题复杂，租赁厂房项目厂房存量不足等问题；配套竞争力不强，主导产业发展和配套设施建设横向比较的核心竞争力不够，平台建设和要素保障不全，受环保、规划和生态红线等制约因素影响较大；受外部环境影响大，部分投资方有投资想法，但受外部环境影响信心不足，不敢进行重资产投资，导致项目落地迟缓、推进较慢。</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（一）年初预算细化科目，增加预算。</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（二）充分履行政府经济管理部门职能职责。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以经济建设为中心，深化改革，优化服务，提升效率，确保国务院、省市区稳住经济大盘的决策部署和各项政策落实落地；全面完成市、区绩效和高质量发展考核指标，争取全市七区排名前二名，为君山区高质量发展做出新贡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（三）紧紧围绕政府工作安排提出的部署要求。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sz w:val="32"/>
          <w:szCs w:val="32"/>
          <w:highlight w:val="none"/>
        </w:rPr>
        <w:t>把“促消费，稳步提升社零增速；发展电子商务，助力产业振兴；加大扶持力度，促进开放型经济发展”作为202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年工作重点抓出成效，促进商贸流通行业市场主体高质量发展。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Ind w:w="0" w:type="dxa"/>
        <w:tblLayout w:type="fixed"/>
        <w:tblCellMar>
          <w:top w:w="0" w:type="dxa"/>
          <w:left w:w="108" w:type="dxa"/>
          <w:bottom w:w="0" w:type="dxa"/>
          <w:right w:w="108" w:type="dxa"/>
        </w:tblCellMar>
      </w:tblPr>
      <w:tblGrid>
        <w:gridCol w:w="745"/>
        <w:gridCol w:w="1174"/>
        <w:gridCol w:w="5000"/>
        <w:gridCol w:w="3022"/>
      </w:tblGrid>
      <w:tr>
        <w:tblPrEx>
          <w:tblLayout w:type="fixed"/>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Layout w:type="fixed"/>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Layout w:type="fixed"/>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Layout w:type="fixed"/>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Layout w:type="fixed"/>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Layout w:type="fixed"/>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Layout w:type="fixed"/>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Layout w:type="fixed"/>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Layout w:type="fixed"/>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Layout w:type="fixed"/>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0753B"/>
    <w:multiLevelType w:val="singleLevel"/>
    <w:tmpl w:val="E710753B"/>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A161AF"/>
    <w:rsid w:val="05CA476E"/>
    <w:rsid w:val="07C33864"/>
    <w:rsid w:val="099B7D94"/>
    <w:rsid w:val="0FBF41A4"/>
    <w:rsid w:val="115B59CC"/>
    <w:rsid w:val="11F65787"/>
    <w:rsid w:val="14073931"/>
    <w:rsid w:val="16732448"/>
    <w:rsid w:val="178B0B5E"/>
    <w:rsid w:val="179A36F3"/>
    <w:rsid w:val="17AA6DCC"/>
    <w:rsid w:val="18823AC8"/>
    <w:rsid w:val="18EB7AF4"/>
    <w:rsid w:val="199C2924"/>
    <w:rsid w:val="1BD376DA"/>
    <w:rsid w:val="1C154E68"/>
    <w:rsid w:val="1CA3265E"/>
    <w:rsid w:val="1D3C25CE"/>
    <w:rsid w:val="1F041186"/>
    <w:rsid w:val="1F963F07"/>
    <w:rsid w:val="1FD33BB0"/>
    <w:rsid w:val="21295651"/>
    <w:rsid w:val="280A4241"/>
    <w:rsid w:val="29667873"/>
    <w:rsid w:val="29FF4D3E"/>
    <w:rsid w:val="2CAF0F88"/>
    <w:rsid w:val="30CE3452"/>
    <w:rsid w:val="3153042A"/>
    <w:rsid w:val="34405628"/>
    <w:rsid w:val="353347CD"/>
    <w:rsid w:val="380C7AE3"/>
    <w:rsid w:val="38CA13D7"/>
    <w:rsid w:val="3C19518D"/>
    <w:rsid w:val="45655AD9"/>
    <w:rsid w:val="45AD315F"/>
    <w:rsid w:val="49CC5515"/>
    <w:rsid w:val="4A9C4407"/>
    <w:rsid w:val="4AB8556F"/>
    <w:rsid w:val="4D9A3302"/>
    <w:rsid w:val="54D24A90"/>
    <w:rsid w:val="564E7F02"/>
    <w:rsid w:val="575F0061"/>
    <w:rsid w:val="57FC1D7B"/>
    <w:rsid w:val="59886344"/>
    <w:rsid w:val="5D696122"/>
    <w:rsid w:val="5E755307"/>
    <w:rsid w:val="60F25E9C"/>
    <w:rsid w:val="62D4067D"/>
    <w:rsid w:val="642337EB"/>
    <w:rsid w:val="65D60903"/>
    <w:rsid w:val="69116E15"/>
    <w:rsid w:val="6A69300D"/>
    <w:rsid w:val="6AA24010"/>
    <w:rsid w:val="6E153D71"/>
    <w:rsid w:val="717C6D21"/>
    <w:rsid w:val="76D7405B"/>
    <w:rsid w:val="785565EE"/>
    <w:rsid w:val="79843042"/>
    <w:rsid w:val="7AFA19A2"/>
    <w:rsid w:val="7B60593D"/>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dcterms:modified xsi:type="dcterms:W3CDTF">2025-05-07T06:38:15Z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6182D3A10D564617983F46DEE354AEAF</vt:lpwstr>
  </property>
</Properties>
</file>