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spacing w:line="36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附件：1.202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年度部门整体支出绩效评价基础数据表 </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年度部门整体支出绩效自评表</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年度项目支出绩效自评表</w:t>
      </w:r>
    </w:p>
    <w:p>
      <w:pPr>
        <w:spacing w:line="360" w:lineRule="auto"/>
        <w:ind w:left="1596" w:leftChars="570"/>
        <w:rPr>
          <w:rFonts w:ascii="仿宋_GB2312" w:hAnsi="仿宋_GB2312" w:eastAsia="仿宋_GB2312" w:cs="仿宋_GB2312"/>
          <w:sz w:val="32"/>
          <w:szCs w:val="32"/>
        </w:rPr>
      </w:pPr>
      <w:r>
        <w:rPr>
          <w:rFonts w:hint="eastAsia" w:ascii="仿宋_GB2312" w:hAnsi="仿宋_GB2312" w:eastAsia="仿宋_GB2312" w:cs="仿宋_GB2312"/>
          <w:sz w:val="32"/>
          <w:szCs w:val="32"/>
        </w:rPr>
        <w:t>4.202</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 xml:space="preserve">年度市直预算部门整体支出绩效自评报告 （统一参考格式）   </w:t>
      </w:r>
    </w:p>
    <w:p>
      <w:pPr>
        <w:spacing w:line="360" w:lineRule="auto"/>
        <w:ind w:firstLine="1600" w:firstLineChars="500"/>
        <w:rPr>
          <w:rFonts w:ascii="仿宋_GB2312" w:hAnsi="仿宋_GB2312" w:eastAsia="仿宋_GB2312" w:cs="仿宋_GB2312"/>
          <w:sz w:val="32"/>
          <w:szCs w:val="32"/>
        </w:rPr>
      </w:pPr>
      <w:r>
        <w:rPr>
          <w:rFonts w:hint="eastAsia" w:ascii="仿宋_GB2312" w:hAnsi="仿宋_GB2312" w:eastAsia="仿宋_GB2312" w:cs="仿宋_GB2312"/>
          <w:sz w:val="32"/>
          <w:szCs w:val="32"/>
        </w:rPr>
        <w:t>5.部门整体支出绩效自评工作考核评分表</w:t>
      </w: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line="360" w:lineRule="auto"/>
        <w:rPr>
          <w:rFonts w:ascii="仿宋_GB2312" w:hAnsi="仿宋_GB2312" w:eastAsia="仿宋_GB2312" w:cs="仿宋_GB2312"/>
          <w:sz w:val="32"/>
          <w:szCs w:val="32"/>
        </w:rPr>
      </w:pPr>
    </w:p>
    <w:p>
      <w:pPr>
        <w:spacing w:afterLines="50" w:line="600" w:lineRule="exact"/>
        <w:rPr>
          <w:rFonts w:ascii="黑体" w:hAnsi="黑体" w:eastAsia="黑体" w:cs="黑体"/>
          <w:sz w:val="32"/>
          <w:szCs w:val="32"/>
        </w:rPr>
      </w:pPr>
      <w:r>
        <w:rPr>
          <w:rFonts w:hint="eastAsia" w:ascii="黑体" w:hAnsi="黑体" w:eastAsia="黑体" w:cs="黑体"/>
          <w:sz w:val="32"/>
          <w:szCs w:val="32"/>
        </w:rPr>
        <w:t>附件1</w:t>
      </w:r>
    </w:p>
    <w:p>
      <w:pPr>
        <w:spacing w:afterLines="50" w:line="600" w:lineRule="exact"/>
        <w:jc w:val="center"/>
        <w:rPr>
          <w:rFonts w:ascii="方正小标宋简体" w:hAnsi="方正小标宋简体" w:eastAsia="方正小标宋简体" w:cs="方正小标宋简体"/>
          <w:sz w:val="24"/>
        </w:rPr>
      </w:pPr>
      <w:r>
        <w:rPr>
          <w:rFonts w:hint="eastAsia" w:ascii="方正小标宋简体" w:hAnsi="方正小标宋简体" w:eastAsia="方正小标宋简体" w:cs="方正小标宋简体"/>
          <w:sz w:val="36"/>
          <w:szCs w:val="36"/>
        </w:rPr>
        <w:t>202</w:t>
      </w:r>
      <w:r>
        <w:rPr>
          <w:rFonts w:ascii="方正小标宋简体" w:hAnsi="方正小标宋简体" w:eastAsia="方正小标宋简体" w:cs="方正小标宋简体"/>
          <w:sz w:val="36"/>
          <w:szCs w:val="36"/>
        </w:rPr>
        <w:t>4</w:t>
      </w:r>
      <w:r>
        <w:rPr>
          <w:rFonts w:hint="eastAsia" w:ascii="方正小标宋简体" w:hAnsi="方正小标宋简体" w:eastAsia="方正小标宋简体" w:cs="方正小标宋简体"/>
          <w:sz w:val="36"/>
          <w:szCs w:val="36"/>
        </w:rPr>
        <w:t>年度部门整体支出绩效评价基础数据表</w:t>
      </w:r>
    </w:p>
    <w:tbl>
      <w:tblPr>
        <w:tblStyle w:val="8"/>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年实际在职人数</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控制率</w:t>
            </w:r>
          </w:p>
        </w:tc>
      </w:tr>
      <w:tr>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2038"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6　</w:t>
            </w:r>
          </w:p>
        </w:tc>
        <w:tc>
          <w:tcPr>
            <w:tcW w:w="2240"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6　　</w:t>
            </w:r>
          </w:p>
        </w:tc>
        <w:tc>
          <w:tcPr>
            <w:tcW w:w="2041" w:type="dxa"/>
            <w:gridSpan w:val="2"/>
            <w:tcBorders>
              <w:top w:val="single" w:color="auto" w:sz="4" w:space="0"/>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3</w:t>
            </w:r>
            <w:r>
              <w:rPr>
                <w:rFonts w:hint="eastAsia" w:ascii="仿宋_GB2312" w:hAnsi="仿宋_GB2312" w:eastAsia="仿宋_GB2312" w:cs="仿宋_GB2312"/>
                <w:b/>
                <w:bCs/>
                <w:sz w:val="20"/>
                <w:szCs w:val="20"/>
              </w:rPr>
              <w:t>年决算数</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年预算数</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b/>
                <w:bCs/>
                <w:sz w:val="20"/>
                <w:szCs w:val="20"/>
              </w:rPr>
            </w:pPr>
            <w:r>
              <w:rPr>
                <w:rFonts w:hint="eastAsia" w:ascii="仿宋_GB2312" w:hAnsi="仿宋_GB2312" w:eastAsia="仿宋_GB2312" w:cs="仿宋_GB2312"/>
                <w:b/>
                <w:bCs/>
                <w:sz w:val="20"/>
                <w:szCs w:val="20"/>
              </w:rPr>
              <w:t>202</w:t>
            </w:r>
            <w:r>
              <w:rPr>
                <w:rFonts w:ascii="仿宋_GB2312" w:hAnsi="仿宋_GB2312" w:eastAsia="仿宋_GB2312" w:cs="仿宋_GB2312"/>
                <w:b/>
                <w:bCs/>
                <w:sz w:val="20"/>
                <w:szCs w:val="20"/>
              </w:rPr>
              <w:t>4</w:t>
            </w:r>
            <w:r>
              <w:rPr>
                <w:rFonts w:hint="eastAsia" w:ascii="仿宋_GB2312" w:hAnsi="仿宋_GB2312" w:eastAsia="仿宋_GB2312" w:cs="仿宋_GB2312"/>
                <w:b/>
                <w:bCs/>
                <w:sz w:val="20"/>
                <w:szCs w:val="20"/>
              </w:rPr>
              <w:t>年决算数</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三公经费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项目支出：</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1、业务工作经费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trHeight w:val="637"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2、运行维护经费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0</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公用经费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2.59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宋体" w:hAnsi="宋体" w:cs="宋体"/>
                <w:color w:val="000000"/>
                <w:sz w:val="22"/>
                <w:szCs w:val="22"/>
              </w:rPr>
            </w:pPr>
            <w:r>
              <w:rPr>
                <w:rFonts w:hint="eastAsia" w:ascii="宋体" w:hAnsi="宋体" w:cs="宋体"/>
                <w:color w:val="000000"/>
                <w:sz w:val="22"/>
                <w:szCs w:val="22"/>
              </w:rPr>
              <w:t>87.59</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宋体" w:hAnsi="宋体" w:cs="宋体"/>
                <w:color w:val="000000"/>
                <w:sz w:val="22"/>
                <w:szCs w:val="22"/>
              </w:rPr>
            </w:pPr>
            <w:r>
              <w:rPr>
                <w:rFonts w:hint="eastAsia" w:ascii="宋体" w:hAnsi="宋体" w:cs="宋体"/>
                <w:color w:val="000000"/>
                <w:sz w:val="22"/>
                <w:szCs w:val="22"/>
              </w:rPr>
              <w:t>85.69</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宋体" w:hAnsi="宋体" w:cs="宋体"/>
                <w:color w:val="000000"/>
                <w:sz w:val="22"/>
                <w:szCs w:val="22"/>
              </w:rPr>
            </w:pPr>
            <w:r>
              <w:rPr>
                <w:rFonts w:hint="eastAsia" w:ascii="宋体" w:hAnsi="宋体" w:cs="宋体"/>
                <w:color w:val="000000"/>
                <w:sz w:val="22"/>
                <w:szCs w:val="22"/>
              </w:rPr>
              <w:t>0　</w:t>
            </w:r>
          </w:p>
        </w:tc>
        <w:tc>
          <w:tcPr>
            <w:tcW w:w="2240" w:type="dxa"/>
            <w:gridSpan w:val="2"/>
            <w:tcBorders>
              <w:top w:val="single" w:color="auto" w:sz="4" w:space="0"/>
              <w:left w:val="nil"/>
              <w:bottom w:val="single" w:color="auto" w:sz="4" w:space="0"/>
              <w:right w:val="single" w:color="000000" w:sz="4" w:space="0"/>
            </w:tcBorders>
            <w:noWrap/>
            <w:vAlign w:val="center"/>
          </w:tcPr>
          <w:tbl>
            <w:tblPr>
              <w:tblStyle w:val="8"/>
              <w:tblW w:w="155" w:type="dxa"/>
              <w:tblCellSpacing w:w="0" w:type="dxa"/>
              <w:tblInd w:w="0" w:type="dxa"/>
              <w:tblLayout w:type="fixed"/>
              <w:tblCellMar>
                <w:top w:w="0" w:type="dxa"/>
                <w:left w:w="0" w:type="dxa"/>
                <w:bottom w:w="0" w:type="dxa"/>
                <w:right w:w="0" w:type="dxa"/>
              </w:tblCellMar>
            </w:tblPr>
            <w:tblGrid>
              <w:gridCol w:w="155"/>
            </w:tblGrid>
            <w:tr>
              <w:tblPrEx>
                <w:tblCellMar>
                  <w:top w:w="0" w:type="dxa"/>
                  <w:left w:w="0" w:type="dxa"/>
                  <w:bottom w:w="0" w:type="dxa"/>
                  <w:right w:w="0" w:type="dxa"/>
                </w:tblCellMar>
              </w:tblPrEx>
              <w:trPr>
                <w:tblCellSpacing w:w="0" w:type="dxa"/>
              </w:trPr>
              <w:tc>
                <w:tcPr>
                  <w:tcW w:w="155" w:type="dxa"/>
                  <w:tcBorders>
                    <w:top w:val="nil"/>
                    <w:left w:val="nil"/>
                    <w:bottom w:val="nil"/>
                    <w:right w:val="nil"/>
                  </w:tcBorders>
                  <w:shd w:val="clear" w:color="auto" w:fill="E9F1FF"/>
                  <w:tcMar>
                    <w:top w:w="100" w:type="dxa"/>
                    <w:left w:w="0" w:type="dxa"/>
                    <w:bottom w:w="100" w:type="dxa"/>
                    <w:right w:w="0" w:type="dxa"/>
                  </w:tcMar>
                  <w:vAlign w:val="center"/>
                </w:tcPr>
                <w:p>
                  <w:pPr>
                    <w:widowControl/>
                    <w:spacing w:line="360" w:lineRule="exact"/>
                    <w:jc w:val="center"/>
                    <w:rPr>
                      <w:rFonts w:ascii="仿宋_GB2312" w:hAnsi="仿宋_GB2312" w:eastAsia="仿宋_GB2312" w:cs="仿宋_GB2312"/>
                      <w:sz w:val="20"/>
                      <w:szCs w:val="20"/>
                    </w:rPr>
                  </w:pPr>
                </w:p>
              </w:tc>
            </w:tr>
          </w:tbl>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0.74</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宋体" w:hAnsi="宋体" w:cs="宋体"/>
                <w:color w:val="000000"/>
                <w:sz w:val="22"/>
                <w:szCs w:val="22"/>
              </w:rPr>
            </w:pPr>
            <w:r>
              <w:rPr>
                <w:rFonts w:hint="eastAsia" w:ascii="宋体" w:hAnsi="宋体" w:cs="宋体"/>
                <w:color w:val="000000"/>
                <w:sz w:val="22"/>
                <w:szCs w:val="22"/>
              </w:rPr>
              <w:t>0.74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2.59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2.35</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宋体" w:hAnsi="宋体" w:cs="宋体"/>
                <w:color w:val="000000"/>
                <w:sz w:val="22"/>
                <w:szCs w:val="22"/>
              </w:rPr>
            </w:pPr>
            <w:r>
              <w:rPr>
                <w:rFonts w:hint="eastAsia" w:ascii="宋体" w:hAnsi="宋体" w:cs="宋体"/>
                <w:color w:val="000000"/>
                <w:sz w:val="22"/>
                <w:szCs w:val="22"/>
              </w:rPr>
              <w:t>2.35</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color w:val="FF0000"/>
                <w:sz w:val="20"/>
                <w:szCs w:val="20"/>
              </w:rPr>
            </w:pPr>
            <w:r>
              <w:rPr>
                <w:rFonts w:hint="eastAsia" w:ascii="宋体" w:hAnsi="宋体" w:cs="宋体"/>
                <w:color w:val="000000"/>
                <w:sz w:val="22"/>
                <w:szCs w:val="22"/>
              </w:rPr>
              <w:t>0　</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宋体" w:hAnsi="宋体" w:cs="宋体"/>
                <w:color w:val="000000"/>
                <w:sz w:val="22"/>
                <w:szCs w:val="22"/>
              </w:rPr>
            </w:pPr>
            <w:r>
              <w:rPr>
                <w:rFonts w:hint="eastAsia" w:ascii="宋体" w:hAnsi="宋体" w:cs="宋体"/>
                <w:color w:val="000000"/>
                <w:sz w:val="22"/>
                <w:szCs w:val="22"/>
              </w:rPr>
              <w:t>0　</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宋体" w:hAnsi="宋体" w:cs="宋体"/>
                <w:color w:val="000000"/>
                <w:sz w:val="22"/>
                <w:szCs w:val="22"/>
              </w:rPr>
            </w:pPr>
            <w:r>
              <w:rPr>
                <w:rFonts w:hint="eastAsia" w:ascii="宋体" w:hAnsi="宋体" w:cs="宋体"/>
                <w:color w:val="000000"/>
                <w:sz w:val="22"/>
                <w:szCs w:val="22"/>
              </w:rPr>
              <w:t>0</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49.47</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49.47</w:t>
            </w:r>
          </w:p>
        </w:tc>
      </w:tr>
      <w:tr>
        <w:tblPrEx>
          <w:tblCellMar>
            <w:top w:w="0" w:type="dxa"/>
            <w:left w:w="108" w:type="dxa"/>
            <w:bottom w:w="0" w:type="dxa"/>
            <w:right w:w="108" w:type="dxa"/>
          </w:tblCellMar>
        </w:tblPrEx>
        <w:trPr>
          <w:trHeight w:val="90" w:hRule="atLeast"/>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w:t>
            </w:r>
          </w:p>
        </w:tc>
        <w:tc>
          <w:tcPr>
            <w:tcW w:w="2240"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109.01</w:t>
            </w:r>
          </w:p>
        </w:tc>
        <w:tc>
          <w:tcPr>
            <w:tcW w:w="2041" w:type="dxa"/>
            <w:gridSpan w:val="2"/>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109.01</w:t>
            </w:r>
          </w:p>
        </w:tc>
      </w:tr>
      <w:tr>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楼堂馆所控制情况</w:t>
            </w:r>
            <w:r>
              <w:rPr>
                <w:rFonts w:hint="eastAsia" w:ascii="仿宋_GB2312" w:hAnsi="仿宋_GB2312" w:eastAsia="仿宋_GB2312" w:cs="仿宋_GB2312"/>
                <w:sz w:val="20"/>
                <w:szCs w:val="20"/>
              </w:rPr>
              <w:br w:type="textWrapping"/>
            </w:r>
            <w:r>
              <w:rPr>
                <w:rFonts w:hint="eastAsia" w:ascii="仿宋_GB2312" w:hAnsi="仿宋_GB2312" w:eastAsia="仿宋_GB2312" w:cs="仿宋_GB2312"/>
                <w:sz w:val="20"/>
                <w:szCs w:val="20"/>
              </w:rPr>
              <w:t>（2023年完工项目）</w:t>
            </w: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批复规模</w:t>
            </w:r>
            <w:r>
              <w:rPr>
                <w:rFonts w:hint="eastAsia" w:ascii="仿宋_GB2312" w:hAnsi="仿宋_GB2312" w:eastAsia="仿宋_GB2312" w:cs="仿宋_GB2312"/>
                <w:bCs/>
                <w:sz w:val="20"/>
                <w:szCs w:val="20"/>
              </w:rPr>
              <w:br w:type="textWrapping"/>
            </w:r>
            <w:r>
              <w:rPr>
                <w:rFonts w:hint="eastAsia" w:ascii="仿宋_GB2312" w:hAnsi="仿宋_GB2312" w:eastAsia="仿宋_GB2312" w:cs="仿宋_GB2312"/>
                <w:bCs/>
                <w:sz w:val="20"/>
                <w:szCs w:val="20"/>
              </w:rPr>
              <w:t>（㎡）</w:t>
            </w:r>
          </w:p>
        </w:tc>
        <w:tc>
          <w:tcPr>
            <w:tcW w:w="84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实际规模（㎡）</w:t>
            </w:r>
          </w:p>
        </w:tc>
        <w:tc>
          <w:tcPr>
            <w:tcW w:w="112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规模控制率</w:t>
            </w:r>
          </w:p>
        </w:tc>
        <w:tc>
          <w:tcPr>
            <w:tcW w:w="111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预算投资（万元）</w:t>
            </w:r>
          </w:p>
        </w:tc>
        <w:tc>
          <w:tcPr>
            <w:tcW w:w="1081"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实际投资（万元）</w:t>
            </w:r>
          </w:p>
        </w:tc>
        <w:tc>
          <w:tcPr>
            <w:tcW w:w="960"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bCs/>
                <w:sz w:val="20"/>
                <w:szCs w:val="20"/>
              </w:rPr>
            </w:pPr>
            <w:r>
              <w:rPr>
                <w:rFonts w:hint="eastAsia" w:ascii="仿宋_GB2312" w:hAnsi="仿宋_GB2312" w:eastAsia="仿宋_GB2312" w:cs="仿宋_GB2312"/>
                <w:bCs/>
                <w:sz w:val="20"/>
                <w:szCs w:val="20"/>
              </w:rPr>
              <w:t>投资概算控制率</w:t>
            </w:r>
          </w:p>
        </w:tc>
      </w:tr>
      <w:tr>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p>
        </w:tc>
        <w:tc>
          <w:tcPr>
            <w:tcW w:w="1189" w:type="dxa"/>
            <w:tcBorders>
              <w:top w:val="nil"/>
              <w:left w:val="nil"/>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84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29"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11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1081"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c>
          <w:tcPr>
            <w:tcW w:w="960" w:type="dxa"/>
            <w:tcBorders>
              <w:top w:val="nil"/>
              <w:left w:val="nil"/>
              <w:bottom w:val="single" w:color="auto" w:sz="4" w:space="0"/>
              <w:right w:val="single" w:color="auto" w:sz="4" w:space="0"/>
            </w:tcBorders>
            <w:noWrap/>
            <w:vAlign w:val="center"/>
          </w:tcPr>
          <w:p>
            <w:pPr>
              <w:widowControl/>
              <w:spacing w:line="360" w:lineRule="exact"/>
              <w:jc w:val="left"/>
              <w:rPr>
                <w:rFonts w:ascii="仿宋_GB2312" w:hAnsi="仿宋_GB2312" w:eastAsia="仿宋_GB2312" w:cs="仿宋_GB2312"/>
                <w:sz w:val="20"/>
                <w:szCs w:val="20"/>
              </w:rPr>
            </w:pPr>
            <w:r>
              <w:rPr>
                <w:rFonts w:hint="eastAsia" w:ascii="仿宋_GB2312" w:hAnsi="仿宋_GB2312" w:eastAsia="仿宋_GB2312" w:cs="仿宋_GB2312"/>
                <w:sz w:val="20"/>
                <w:szCs w:val="20"/>
              </w:rPr>
              <w:t>　</w:t>
            </w:r>
          </w:p>
        </w:tc>
      </w:tr>
      <w:tr>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ign w:val="center"/>
          </w:tcPr>
          <w:p>
            <w:pPr>
              <w:widowControl/>
              <w:spacing w:line="36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深入贯彻落实中央八项规定及其实施细则特神，严格控制“三公”经费开支，严禁超范围、超标准开支，践行精细化管理理念，加强绩效化管理，推进绩效评价结果与预算挂钩，严防资金低效使用，确保财力有效转化为保障力。　</w:t>
            </w:r>
          </w:p>
        </w:tc>
      </w:tr>
    </w:tbl>
    <w:p>
      <w:pPr>
        <w:widowControl/>
        <w:spacing w:line="400" w:lineRule="exact"/>
        <w:jc w:val="left"/>
        <w:rPr>
          <w:rFonts w:ascii="Times New Roman" w:hAnsi="Times New Roman" w:eastAsia="仿宋_GB2312"/>
          <w:sz w:val="22"/>
        </w:rPr>
      </w:pPr>
      <w:r>
        <w:rPr>
          <w:rFonts w:ascii="Times New Roman" w:hAnsi="Times New Roman" w:eastAsia="仿宋_GB2312"/>
          <w:sz w:val="22"/>
        </w:rPr>
        <w:t>说明：“项目支出”需要填报基本支出以外的所有项目支出情况，“公用经费”填报基本支出中的一般商品和服务支出。</w:t>
      </w:r>
    </w:p>
    <w:p>
      <w:pPr>
        <w:widowControl/>
        <w:spacing w:line="400" w:lineRule="exact"/>
        <w:jc w:val="left"/>
        <w:rPr>
          <w:rFonts w:ascii="Times New Roman" w:hAnsi="Times New Roman" w:eastAsia="仿宋_GB2312"/>
          <w:sz w:val="22"/>
        </w:rPr>
      </w:pPr>
    </w:p>
    <w:p>
      <w:pPr>
        <w:widowControl/>
        <w:spacing w:line="400" w:lineRule="exact"/>
        <w:jc w:val="left"/>
        <w:rPr>
          <w:rFonts w:ascii="黑体" w:hAnsi="黑体" w:eastAsia="黑体" w:cs="黑体"/>
          <w:sz w:val="32"/>
          <w:szCs w:val="32"/>
        </w:rPr>
      </w:pPr>
      <w:r>
        <w:rPr>
          <w:rFonts w:ascii="Times New Roman" w:hAnsi="Times New Roman" w:eastAsia="仿宋_GB2312"/>
          <w:sz w:val="22"/>
        </w:rPr>
        <w:t>填表人：        填报日期：          联系电话：            单位负责人签字：</w:t>
      </w:r>
      <w:r>
        <w:rPr>
          <w:rFonts w:ascii="Times New Roman" w:hAnsi="Times New Roman" w:eastAsia="仿宋_GB2312"/>
          <w:sz w:val="22"/>
        </w:rPr>
        <w:br w:type="page"/>
      </w:r>
      <w:r>
        <w:rPr>
          <w:rFonts w:hint="eastAsia" w:ascii="黑体" w:hAnsi="黑体" w:eastAsia="黑体" w:cs="黑体"/>
          <w:sz w:val="32"/>
          <w:szCs w:val="32"/>
        </w:rPr>
        <w:t>附件2</w:t>
      </w:r>
    </w:p>
    <w:p>
      <w:pPr>
        <w:widowControl/>
        <w:spacing w:afterLines="50"/>
        <w:jc w:val="center"/>
        <w:rPr>
          <w:rFonts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202</w:t>
      </w:r>
      <w:r>
        <w:rPr>
          <w:rFonts w:ascii="方正小标宋简体" w:hAnsi="方正小标宋简体" w:eastAsia="方正小标宋简体" w:cs="方正小标宋简体"/>
          <w:color w:val="000000"/>
          <w:sz w:val="36"/>
          <w:szCs w:val="36"/>
        </w:rPr>
        <w:t>4</w:t>
      </w:r>
      <w:r>
        <w:rPr>
          <w:rFonts w:hint="eastAsia" w:ascii="方正小标宋简体" w:hAnsi="方正小标宋简体" w:eastAsia="方正小标宋简体" w:cs="方正小标宋简体"/>
          <w:color w:val="000000"/>
          <w:sz w:val="36"/>
          <w:szCs w:val="36"/>
        </w:rPr>
        <w:t>年度部门整体支出绩效自评表</w:t>
      </w:r>
    </w:p>
    <w:tbl>
      <w:tblPr>
        <w:tblStyle w:val="8"/>
        <w:tblW w:w="10158" w:type="dxa"/>
        <w:jc w:val="center"/>
        <w:tblLayout w:type="autofit"/>
        <w:tblCellMar>
          <w:top w:w="0" w:type="dxa"/>
          <w:left w:w="108" w:type="dxa"/>
          <w:bottom w:w="0" w:type="dxa"/>
          <w:right w:w="108" w:type="dxa"/>
        </w:tblCellMar>
      </w:tblPr>
      <w:tblGrid>
        <w:gridCol w:w="1080"/>
        <w:gridCol w:w="1080"/>
        <w:gridCol w:w="1034"/>
        <w:gridCol w:w="1270"/>
        <w:gridCol w:w="1311"/>
        <w:gridCol w:w="1269"/>
        <w:gridCol w:w="773"/>
        <w:gridCol w:w="895"/>
        <w:gridCol w:w="144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市级预算部门名称</w:t>
            </w:r>
          </w:p>
        </w:tc>
        <w:tc>
          <w:tcPr>
            <w:tcW w:w="9078" w:type="dxa"/>
            <w:gridSpan w:val="8"/>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岳阳市君山区岳阳市君山区市场建设服务中心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年度预</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算申请</w:t>
            </w:r>
            <w:r>
              <w:rPr>
                <w:rFonts w:hint="eastAsia" w:ascii="仿宋_GB2312" w:hAnsi="仿宋_GB2312" w:eastAsia="仿宋_GB2312" w:cs="仿宋_GB2312"/>
                <w:color w:val="000000"/>
                <w:sz w:val="20"/>
                <w:szCs w:val="20"/>
              </w:rPr>
              <w:br w:type="textWrapping"/>
            </w:r>
            <w:r>
              <w:rPr>
                <w:rFonts w:hint="eastAsia" w:ascii="仿宋_GB2312" w:hAnsi="仿宋_GB2312" w:eastAsia="仿宋_GB2312" w:cs="仿宋_GB2312"/>
                <w:color w:val="000000"/>
                <w:sz w:val="20"/>
                <w:szCs w:val="20"/>
              </w:rPr>
              <w:t>（万元）</w:t>
            </w: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p>
        </w:tc>
        <w:tc>
          <w:tcPr>
            <w:tcW w:w="127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年初预算数</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全年预算数</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全年执行数</w:t>
            </w:r>
          </w:p>
        </w:tc>
        <w:tc>
          <w:tcPr>
            <w:tcW w:w="773"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分值</w:t>
            </w:r>
          </w:p>
        </w:tc>
        <w:tc>
          <w:tcPr>
            <w:tcW w:w="895"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执行率</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得分</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2114" w:type="dxa"/>
            <w:gridSpan w:val="2"/>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color w:val="000000"/>
                <w:sz w:val="20"/>
                <w:szCs w:val="20"/>
              </w:rPr>
              <w:t>年度资金总额</w:t>
            </w:r>
          </w:p>
        </w:tc>
        <w:tc>
          <w:tcPr>
            <w:tcW w:w="1270"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微软雅黑" w:hAnsi="微软雅黑" w:eastAsia="微软雅黑"/>
                <w:color w:val="000000"/>
                <w:sz w:val="16"/>
                <w:szCs w:val="16"/>
                <w:shd w:val="clear" w:color="auto" w:fill="F5F7FA"/>
              </w:rPr>
              <w:t>74.27</w:t>
            </w:r>
          </w:p>
        </w:tc>
        <w:tc>
          <w:tcPr>
            <w:tcW w:w="1311"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微软雅黑" w:hAnsi="微软雅黑" w:eastAsia="微软雅黑"/>
                <w:color w:val="000000"/>
                <w:sz w:val="16"/>
                <w:szCs w:val="16"/>
                <w:shd w:val="clear" w:color="auto" w:fill="F5F7FA"/>
              </w:rPr>
              <w:t>158.2</w:t>
            </w:r>
          </w:p>
        </w:tc>
        <w:tc>
          <w:tcPr>
            <w:tcW w:w="1269"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微软雅黑" w:hAnsi="微软雅黑" w:eastAsia="微软雅黑"/>
                <w:color w:val="000000"/>
                <w:sz w:val="16"/>
                <w:szCs w:val="16"/>
                <w:shd w:val="clear" w:color="auto" w:fill="F5F7FA"/>
              </w:rPr>
              <w:t>158.2</w:t>
            </w:r>
          </w:p>
        </w:tc>
        <w:tc>
          <w:tcPr>
            <w:tcW w:w="773"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w:t>
            </w:r>
          </w:p>
        </w:tc>
        <w:tc>
          <w:tcPr>
            <w:tcW w:w="895"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c>
          <w:tcPr>
            <w:tcW w:w="1446" w:type="dxa"/>
            <w:tcBorders>
              <w:top w:val="nil"/>
              <w:left w:val="nil"/>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sz w:val="20"/>
                <w:szCs w:val="20"/>
              </w:rPr>
            </w:pPr>
            <w:r>
              <w:rPr>
                <w:rFonts w:hint="eastAsia" w:ascii="仿宋_GB2312" w:hAnsi="仿宋_GB2312" w:eastAsia="仿宋_GB2312" w:cs="仿宋_GB2312"/>
                <w:sz w:val="20"/>
                <w:szCs w:val="20"/>
              </w:rPr>
              <w:t>100</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按收入性质分：</w:t>
            </w:r>
          </w:p>
        </w:tc>
        <w:tc>
          <w:tcPr>
            <w:tcW w:w="4383"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按支出性质分：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xml:space="preserve">  其中：  一般公共预算：</w:t>
            </w:r>
            <w:r>
              <w:rPr>
                <w:rFonts w:hint="eastAsia" w:ascii="微软雅黑" w:hAnsi="微软雅黑" w:eastAsia="微软雅黑"/>
                <w:color w:val="000000"/>
                <w:sz w:val="16"/>
                <w:szCs w:val="16"/>
                <w:shd w:val="clear" w:color="auto" w:fill="F5F7FA"/>
              </w:rPr>
              <w:t>109.01</w:t>
            </w:r>
          </w:p>
        </w:tc>
        <w:tc>
          <w:tcPr>
            <w:tcW w:w="4383"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其中：基本支出：</w:t>
            </w:r>
            <w:r>
              <w:rPr>
                <w:rFonts w:hint="eastAsia" w:ascii="微软雅黑" w:hAnsi="微软雅黑" w:eastAsia="微软雅黑"/>
                <w:color w:val="000000"/>
                <w:sz w:val="16"/>
                <w:szCs w:val="16"/>
                <w:shd w:val="clear" w:color="auto" w:fill="F5F7FA"/>
              </w:rPr>
              <w:t>158.2</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800" w:firstLineChars="4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政府性基金拨款：</w:t>
            </w:r>
          </w:p>
        </w:tc>
        <w:tc>
          <w:tcPr>
            <w:tcW w:w="4383" w:type="dxa"/>
            <w:gridSpan w:val="4"/>
            <w:tcBorders>
              <w:top w:val="nil"/>
              <w:left w:val="nil"/>
              <w:bottom w:val="single" w:color="auto" w:sz="4" w:space="0"/>
              <w:right w:val="single" w:color="auto" w:sz="4" w:space="0"/>
            </w:tcBorders>
            <w:noWrap/>
            <w:vAlign w:val="center"/>
          </w:tcPr>
          <w:p>
            <w:pPr>
              <w:widowControl/>
              <w:spacing w:line="240" w:lineRule="exact"/>
              <w:ind w:firstLine="600" w:firstLineChars="3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项目支出：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纳入专户管理的非税收入拨款：</w:t>
            </w:r>
          </w:p>
        </w:tc>
        <w:tc>
          <w:tcPr>
            <w:tcW w:w="4383"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nil"/>
              <w:left w:val="nil"/>
              <w:bottom w:val="single" w:color="auto" w:sz="4" w:space="0"/>
              <w:right w:val="single" w:color="auto" w:sz="4" w:space="0"/>
            </w:tcBorders>
            <w:noWrap/>
            <w:vAlign w:val="center"/>
          </w:tcPr>
          <w:p>
            <w:pPr>
              <w:widowControl/>
              <w:spacing w:line="240" w:lineRule="exact"/>
              <w:ind w:firstLine="1400" w:firstLineChars="700"/>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其他资金：49.19</w:t>
            </w:r>
          </w:p>
        </w:tc>
        <w:tc>
          <w:tcPr>
            <w:tcW w:w="4383" w:type="dxa"/>
            <w:gridSpan w:val="4"/>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预期目标</w:t>
            </w:r>
          </w:p>
        </w:tc>
        <w:tc>
          <w:tcPr>
            <w:tcW w:w="4383"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1、强化目标管理，确保收入完成。</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2、实现市场精细化、常态化管理</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3、加大市场硬件和软件设施维护建设。</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4、保障市场服务中心在职人员的正常办公及生活秩序。</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5、完成上级部门分配的其他工作任务。</w:t>
            </w:r>
          </w:p>
        </w:tc>
        <w:tc>
          <w:tcPr>
            <w:tcW w:w="4383" w:type="dxa"/>
            <w:gridSpan w:val="4"/>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进行了有效管理；严格收入管理，健全审批制度，建立奖励机制。完善了市场内部管理方案，实行科学规范有序管理；重新制订规范挂口市场卫生管理制度，摊位管理制度，加大市场内部管理制度。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绩</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标</w:t>
            </w:r>
          </w:p>
          <w:p>
            <w:pPr>
              <w:widowControl/>
              <w:spacing w:line="240" w:lineRule="exact"/>
              <w:jc w:val="center"/>
              <w:rPr>
                <w:rFonts w:ascii="仿宋_GB2312" w:hAnsi="仿宋_GB2312" w:eastAsia="仿宋_GB2312" w:cs="仿宋_GB2312"/>
                <w:color w:val="000000"/>
                <w:sz w:val="20"/>
                <w:szCs w:val="20"/>
              </w:rPr>
            </w:pP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一级指标</w:t>
            </w:r>
          </w:p>
        </w:tc>
        <w:tc>
          <w:tcPr>
            <w:tcW w:w="1034"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二级指标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三级指标</w:t>
            </w:r>
          </w:p>
        </w:tc>
        <w:tc>
          <w:tcPr>
            <w:tcW w:w="1311"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年度指标值</w:t>
            </w:r>
          </w:p>
        </w:tc>
        <w:tc>
          <w:tcPr>
            <w:tcW w:w="1269"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实际完成值</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分值</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得分</w:t>
            </w:r>
          </w:p>
        </w:tc>
        <w:tc>
          <w:tcPr>
            <w:tcW w:w="1446" w:type="dxa"/>
            <w:tcBorders>
              <w:top w:val="nil"/>
              <w:left w:val="nil"/>
              <w:bottom w:val="single" w:color="auto" w:sz="4" w:space="0"/>
              <w:right w:val="single" w:color="auto" w:sz="4" w:space="0"/>
            </w:tcBorders>
            <w:noWrap/>
            <w:vAlign w:val="center"/>
          </w:tcPr>
          <w:p>
            <w:pPr>
              <w:widowControl/>
              <w:spacing w:line="240" w:lineRule="exac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产出指标</w:t>
            </w:r>
          </w:p>
          <w:p>
            <w:pPr>
              <w:widowControl/>
              <w:spacing w:line="240" w:lineRule="exact"/>
              <w:jc w:val="center"/>
              <w:rPr>
                <w:rFonts w:ascii="仿宋_GB2312" w:hAnsi="仿宋_GB2312" w:eastAsia="仿宋_GB2312" w:cs="仿宋_GB2312"/>
                <w:color w:val="000000"/>
                <w:sz w:val="20"/>
                <w:szCs w:val="20"/>
              </w:rPr>
            </w:pP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(50分)</w:t>
            </w:r>
          </w:p>
        </w:tc>
        <w:tc>
          <w:tcPr>
            <w:tcW w:w="103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数量指标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门面摊位出租率</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卫生督查次数</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80次</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80次</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发布考核通报期数</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12期</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12期</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restart"/>
            <w:tcBorders>
              <w:top w:val="single" w:color="auto" w:sz="4" w:space="0"/>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质量指标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租金到位率</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督查问题整改率</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vMerge w:val="continue"/>
            <w:tcBorders>
              <w:left w:val="single" w:color="auto" w:sz="4" w:space="0"/>
              <w:bottom w:val="single" w:color="auto" w:sz="4" w:space="0"/>
              <w:right w:val="single" w:color="auto" w:sz="4" w:space="0"/>
            </w:tcBorders>
            <w:noWrap/>
            <w:vAlign w:val="center"/>
          </w:tcPr>
          <w:p>
            <w:pPr>
              <w:spacing w:line="240" w:lineRule="exact"/>
              <w:jc w:val="center"/>
              <w:rPr>
                <w:rFonts w:ascii="仿宋_GB2312" w:hAnsi="仿宋_GB2312" w:eastAsia="仿宋_GB2312" w:cs="仿宋_GB2312"/>
                <w:color w:val="000000"/>
                <w:sz w:val="20"/>
                <w:szCs w:val="20"/>
              </w:rPr>
            </w:pP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信息更新及时率</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＝100%</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5</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时效指标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年度各项任务完成期限</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2024年12月31日前</w:t>
            </w:r>
          </w:p>
        </w:tc>
        <w:tc>
          <w:tcPr>
            <w:tcW w:w="126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2024年12月20日前</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成本指标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预算控制率</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r>
              <w:rPr>
                <w:rFonts w:hint="eastAsia" w:ascii="宋体" w:hAnsi="宋体" w:cs="宋体"/>
                <w:color w:val="000000"/>
                <w:sz w:val="20"/>
                <w:szCs w:val="20"/>
              </w:rPr>
              <w:t>≦</w:t>
            </w:r>
            <w:r>
              <w:rPr>
                <w:rFonts w:hint="eastAsia" w:ascii="仿宋_GB2312" w:hAnsi="仿宋_GB2312" w:eastAsia="仿宋_GB2312" w:cs="仿宋_GB2312"/>
                <w:color w:val="000000"/>
                <w:sz w:val="20"/>
                <w:szCs w:val="20"/>
              </w:rPr>
              <w:t>100%</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效益指标</w:t>
            </w:r>
          </w:p>
          <w:p>
            <w:pPr>
              <w:widowControl/>
              <w:spacing w:line="240" w:lineRule="exact"/>
              <w:jc w:val="left"/>
              <w:rPr>
                <w:rFonts w:ascii="仿宋_GB2312" w:hAnsi="仿宋_GB2312" w:eastAsia="仿宋_GB2312" w:cs="仿宋_GB2312"/>
                <w:color w:val="000000"/>
                <w:sz w:val="20"/>
                <w:szCs w:val="20"/>
              </w:rPr>
            </w:pP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（30分）</w:t>
            </w:r>
          </w:p>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经济效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保障经济高质量发展</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稳步提升</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稳步提升</w:t>
            </w:r>
          </w:p>
        </w:tc>
        <w:tc>
          <w:tcPr>
            <w:tcW w:w="773"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社会效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提高市场服务质量</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稳步提升</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稳步提升</w:t>
            </w:r>
          </w:p>
        </w:tc>
        <w:tc>
          <w:tcPr>
            <w:tcW w:w="773"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8</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培训服务工作未有效进行，着重提升服务水平</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生态效</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益指标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无明显环境效益</w:t>
            </w:r>
          </w:p>
        </w:tc>
        <w:tc>
          <w:tcPr>
            <w:tcW w:w="131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无明显环境效益</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无明显环境效益</w:t>
            </w:r>
          </w:p>
        </w:tc>
        <w:tc>
          <w:tcPr>
            <w:tcW w:w="773"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90" w:hRule="atLeast"/>
          <w:jc w:val="center"/>
        </w:trPr>
        <w:tc>
          <w:tcPr>
            <w:tcW w:w="1080" w:type="dxa"/>
            <w:vMerge w:val="continue"/>
            <w:tcBorders>
              <w:left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可持续影响指标</w:t>
            </w:r>
          </w:p>
        </w:tc>
        <w:tc>
          <w:tcPr>
            <w:tcW w:w="127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促进本地生产总值进一步增长</w:t>
            </w:r>
          </w:p>
        </w:tc>
        <w:tc>
          <w:tcPr>
            <w:tcW w:w="1311"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效果显著</w:t>
            </w:r>
          </w:p>
        </w:tc>
        <w:tc>
          <w:tcPr>
            <w:tcW w:w="1269"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效果显著</w:t>
            </w:r>
          </w:p>
        </w:tc>
        <w:tc>
          <w:tcPr>
            <w:tcW w:w="773"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10</w:t>
            </w:r>
          </w:p>
        </w:tc>
        <w:tc>
          <w:tcPr>
            <w:tcW w:w="895"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single" w:color="auto" w:sz="4" w:space="0"/>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330" w:hRule="atLeast"/>
          <w:jc w:val="center"/>
        </w:trPr>
        <w:tc>
          <w:tcPr>
            <w:tcW w:w="1080" w:type="dxa"/>
            <w:vMerge w:val="continue"/>
            <w:tcBorders>
              <w:left w:val="single" w:color="auto" w:sz="4" w:space="0"/>
              <w:right w:val="single" w:color="auto" w:sz="4" w:space="0"/>
            </w:tcBorders>
            <w:noWrap/>
            <w:vAlign w:val="center"/>
          </w:tcPr>
          <w:p>
            <w:pPr>
              <w:spacing w:line="240" w:lineRule="exact"/>
              <w:jc w:val="left"/>
              <w:rPr>
                <w:rFonts w:ascii="仿宋_GB2312" w:hAnsi="仿宋_GB2312" w:eastAsia="仿宋_GB2312" w:cs="仿宋_GB2312"/>
                <w:color w:val="000000"/>
                <w:sz w:val="20"/>
                <w:szCs w:val="20"/>
              </w:rPr>
            </w:pPr>
          </w:p>
        </w:tc>
        <w:tc>
          <w:tcPr>
            <w:tcW w:w="1080"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满意度</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指标</w:t>
            </w:r>
          </w:p>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（10分）</w:t>
            </w:r>
          </w:p>
        </w:tc>
        <w:tc>
          <w:tcPr>
            <w:tcW w:w="1034" w:type="dxa"/>
            <w:tcBorders>
              <w:top w:val="single" w:color="auto" w:sz="4" w:space="0"/>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服务对象满意度指标</w:t>
            </w:r>
          </w:p>
        </w:tc>
        <w:tc>
          <w:tcPr>
            <w:tcW w:w="127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服务对象满意度</w:t>
            </w:r>
          </w:p>
        </w:tc>
        <w:tc>
          <w:tcPr>
            <w:tcW w:w="131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1269"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≥90%</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tc>
      </w:tr>
      <w:tr>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总分</w:t>
            </w:r>
          </w:p>
        </w:tc>
        <w:tc>
          <w:tcPr>
            <w:tcW w:w="77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100</w:t>
            </w:r>
          </w:p>
        </w:tc>
        <w:tc>
          <w:tcPr>
            <w:tcW w:w="8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98</w:t>
            </w:r>
          </w:p>
        </w:tc>
        <w:tc>
          <w:tcPr>
            <w:tcW w:w="1446"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仿宋_GB2312" w:eastAsia="仿宋_GB2312" w:cs="仿宋_GB2312"/>
                <w:color w:val="000000"/>
                <w:sz w:val="20"/>
                <w:szCs w:val="20"/>
              </w:rPr>
            </w:pPr>
          </w:p>
        </w:tc>
      </w:tr>
    </w:tbl>
    <w:p>
      <w:pPr>
        <w:widowControl/>
        <w:spacing w:line="600" w:lineRule="exact"/>
        <w:jc w:val="left"/>
        <w:rPr>
          <w:rFonts w:ascii="黑体" w:hAnsi="黑体" w:eastAsia="黑体" w:cs="黑体"/>
          <w:sz w:val="32"/>
          <w:szCs w:val="32"/>
        </w:rPr>
      </w:pPr>
      <w:r>
        <w:rPr>
          <w:rFonts w:ascii="Times New Roman" w:hAnsi="Times New Roman" w:eastAsia="仿宋_GB2312"/>
          <w:sz w:val="22"/>
          <w:szCs w:val="22"/>
        </w:rPr>
        <w:t xml:space="preserve">填表人：      填报日期：         联系电话：     </w:t>
      </w:r>
      <w:r>
        <w:rPr>
          <w:rFonts w:hint="eastAsia" w:ascii="Times New Roman" w:hAnsi="Times New Roman" w:eastAsia="仿宋_GB2312"/>
          <w:sz w:val="22"/>
          <w:szCs w:val="22"/>
        </w:rPr>
        <w:t xml:space="preserve">           </w:t>
      </w:r>
      <w:r>
        <w:rPr>
          <w:rFonts w:ascii="Times New Roman" w:hAnsi="Times New Roman" w:eastAsia="仿宋_GB2312"/>
          <w:sz w:val="22"/>
          <w:szCs w:val="22"/>
        </w:rPr>
        <w:t>单位负责人签字：</w:t>
      </w:r>
      <w:r>
        <w:rPr>
          <w:rFonts w:ascii="Times New Roman" w:hAnsi="Times New Roman" w:eastAsia="仿宋_GB2312"/>
          <w:sz w:val="22"/>
          <w:szCs w:val="22"/>
        </w:rPr>
        <w:br w:type="page"/>
      </w:r>
    </w:p>
    <w:p>
      <w:pPr>
        <w:rPr>
          <w:rFonts w:ascii="黑体" w:hAnsi="黑体" w:eastAsia="黑体" w:cs="黑体"/>
          <w:sz w:val="32"/>
          <w:szCs w:val="32"/>
        </w:rPr>
      </w:pPr>
      <w:r>
        <w:rPr>
          <w:rFonts w:hint="eastAsia" w:ascii="黑体" w:hAnsi="黑体" w:eastAsia="黑体" w:cs="黑体"/>
          <w:sz w:val="32"/>
          <w:szCs w:val="32"/>
        </w:rPr>
        <w:t>附件4</w:t>
      </w:r>
    </w:p>
    <w:p>
      <w:pPr>
        <w:jc w:val="center"/>
        <w:rPr>
          <w:rFonts w:ascii="Times New Roman" w:hAnsi="Times New Roman" w:eastAsia="方正小标宋_GBK"/>
          <w:sz w:val="52"/>
          <w:szCs w:val="52"/>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drawing>
          <wp:inline distT="0" distB="0" distL="0" distR="0">
            <wp:extent cx="5263515" cy="7450455"/>
            <wp:effectExtent l="19050" t="0" r="0" b="0"/>
            <wp:docPr id="1" name="图片 1" descr="\\VMS-FS-02.sumstrong.com\UserData\jscz023\桌面\2024年绩效评价封面\市场建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VMS-FS-02.sumstrong.com\UserData\jscz023\桌面\2024年绩效评价封面\市场建设.jpg"/>
                    <pic:cNvPicPr>
                      <a:picLocks noChangeAspect="1" noChangeArrowheads="1"/>
                    </pic:cNvPicPr>
                  </pic:nvPicPr>
                  <pic:blipFill>
                    <a:blip r:embed="rId4"/>
                    <a:srcRect/>
                    <a:stretch>
                      <a:fillRect/>
                    </a:stretch>
                  </pic:blipFill>
                  <pic:spPr>
                    <a:xfrm>
                      <a:off x="0" y="0"/>
                      <a:ext cx="5263515" cy="7450455"/>
                    </a:xfrm>
                    <a:prstGeom prst="rect">
                      <a:avLst/>
                    </a:prstGeom>
                    <a:noFill/>
                    <a:ln w="9525">
                      <a:noFill/>
                      <a:miter lim="800000"/>
                      <a:headEnd/>
                      <a:tailEnd/>
                    </a:ln>
                  </pic:spPr>
                </pic:pic>
              </a:graphicData>
            </a:graphic>
          </wp:inline>
        </w:drawing>
      </w:r>
      <w:r>
        <w:rPr>
          <w:rFonts w:ascii="Times New Roman" w:hAnsi="Times New Roman" w:eastAsia="仿宋_GB2312"/>
          <w:sz w:val="32"/>
          <w:szCs w:val="32"/>
        </w:rPr>
        <w:br w:type="page"/>
      </w:r>
      <w:r>
        <w:rPr>
          <w:rFonts w:hint="eastAsia" w:ascii="方正小标宋简体" w:hAnsi="方正小标宋简体" w:eastAsia="方正小标宋简体" w:cs="方正小标宋简体"/>
          <w:sz w:val="44"/>
          <w:szCs w:val="44"/>
        </w:rPr>
        <w:t>202</w:t>
      </w:r>
      <w:r>
        <w:rPr>
          <w:rFonts w:ascii="方正小标宋简体" w:hAnsi="方正小标宋简体" w:eastAsia="方正小标宋简体" w:cs="方正小标宋简体"/>
          <w:sz w:val="44"/>
          <w:szCs w:val="44"/>
        </w:rPr>
        <w:t>4</w:t>
      </w:r>
      <w:r>
        <w:rPr>
          <w:rFonts w:hint="eastAsia" w:ascii="方正小标宋简体" w:hAnsi="方正小标宋简体" w:eastAsia="方正小标宋简体" w:cs="方正小标宋简体"/>
          <w:sz w:val="44"/>
          <w:szCs w:val="44"/>
        </w:rPr>
        <w:t>年度岳阳市君山区岳阳市君山区市场建设服务中心整体支出绩效自评报告</w:t>
      </w:r>
    </w:p>
    <w:p>
      <w:pPr>
        <w:spacing w:line="640" w:lineRule="exact"/>
        <w:ind w:firstLine="640" w:firstLineChars="200"/>
        <w:rPr>
          <w:rFonts w:ascii="Times New Roman" w:hAnsi="Times New Roman" w:eastAsia="仿宋_GB2312"/>
          <w:sz w:val="32"/>
          <w:szCs w:val="32"/>
        </w:rPr>
      </w:pPr>
    </w:p>
    <w:p>
      <w:pPr>
        <w:numPr>
          <w:ilvl w:val="0"/>
          <w:numId w:val="1"/>
        </w:numPr>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部门（单位）基本情况</w:t>
      </w:r>
    </w:p>
    <w:p>
      <w:pPr>
        <w:widowControl/>
        <w:spacing w:line="560" w:lineRule="exact"/>
        <w:ind w:firstLine="640" w:firstLineChars="200"/>
        <w:rPr>
          <w:rFonts w:eastAsia="仿宋_GB2312"/>
          <w:sz w:val="32"/>
          <w:szCs w:val="32"/>
        </w:rPr>
      </w:pPr>
      <w:r>
        <w:rPr>
          <w:rFonts w:hint="eastAsia" w:eastAsia="仿宋_GB2312"/>
          <w:sz w:val="32"/>
          <w:szCs w:val="32"/>
        </w:rPr>
        <w:t>本单位是为广大个体工商户和菜农服务。物业管理和摊位出租。</w:t>
      </w:r>
    </w:p>
    <w:p>
      <w:pPr>
        <w:widowControl/>
        <w:spacing w:line="560" w:lineRule="exact"/>
        <w:ind w:firstLine="640" w:firstLineChars="200"/>
        <w:rPr>
          <w:rFonts w:ascii="仿宋_GB2312" w:hAnsi="仿宋_GB2312" w:eastAsia="仿宋_GB2312" w:cs="仿宋_GB2312"/>
          <w:kern w:val="2"/>
          <w:sz w:val="32"/>
          <w:szCs w:val="32"/>
        </w:rPr>
      </w:pPr>
      <w:r>
        <w:rPr>
          <w:rFonts w:hint="eastAsia" w:ascii="楷体" w:hAnsi="楷体" w:eastAsia="楷体" w:cs="楷体"/>
          <w:sz w:val="32"/>
          <w:szCs w:val="32"/>
        </w:rPr>
        <w:t>（二）机构设置与人员情况</w:t>
      </w:r>
    </w:p>
    <w:p>
      <w:pPr>
        <w:pStyle w:val="7"/>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color w:val="000000"/>
          <w:sz w:val="32"/>
          <w:szCs w:val="32"/>
          <w:shd w:val="clear" w:color="auto" w:fill="FFFFFF"/>
        </w:rPr>
        <w:t>岳阳市君山区市场建设服务中心内设机构1个，事业单位1个。内设机构包括：</w:t>
      </w:r>
      <w:r>
        <w:rPr>
          <w:rFonts w:hint="eastAsia" w:eastAsia="仿宋_GB2312"/>
          <w:sz w:val="32"/>
          <w:szCs w:val="32"/>
        </w:rPr>
        <w:t>综合办公室</w:t>
      </w:r>
      <w:r>
        <w:rPr>
          <w:rFonts w:hint="eastAsia" w:ascii="仿宋_GB2312" w:hAnsi="仿宋_GB2312" w:eastAsia="仿宋_GB2312" w:cs="仿宋_GB2312"/>
          <w:color w:val="000000"/>
          <w:sz w:val="32"/>
          <w:szCs w:val="32"/>
          <w:shd w:val="clear" w:color="auto" w:fill="FFFFFF"/>
        </w:rPr>
        <w:t>。</w:t>
      </w:r>
      <w:r>
        <w:rPr>
          <w:rFonts w:hint="eastAsia" w:eastAsia="仿宋_GB2312"/>
          <w:sz w:val="32"/>
          <w:szCs w:val="32"/>
        </w:rPr>
        <w:t>核定</w:t>
      </w:r>
      <w:r>
        <w:rPr>
          <w:rFonts w:hint="eastAsia" w:ascii="仿宋_GB2312" w:hAnsi="仿宋_GB2312" w:eastAsia="仿宋_GB2312" w:cs="仿宋_GB2312"/>
          <w:color w:val="000000"/>
          <w:sz w:val="32"/>
          <w:szCs w:val="32"/>
          <w:shd w:val="clear" w:color="auto" w:fill="FFFFFF"/>
        </w:rPr>
        <w:t>市场建设服务中心</w:t>
      </w:r>
      <w:r>
        <w:rPr>
          <w:rFonts w:hint="eastAsia" w:eastAsia="仿宋_GB2312"/>
          <w:sz w:val="32"/>
          <w:szCs w:val="32"/>
        </w:rPr>
        <w:t>差额拨款事业编制</w:t>
      </w:r>
      <w:r>
        <w:rPr>
          <w:rFonts w:hint="eastAsia" w:eastAsia="仿宋_GB2312"/>
          <w:sz w:val="32"/>
          <w:szCs w:val="32"/>
          <w:lang w:val="en-US" w:eastAsia="zh-CN"/>
        </w:rPr>
        <w:t>6</w:t>
      </w:r>
      <w:bookmarkStart w:id="0" w:name="_GoBack"/>
      <w:bookmarkEnd w:id="0"/>
      <w:r>
        <w:rPr>
          <w:rFonts w:hint="eastAsia" w:eastAsia="仿宋_GB2312"/>
          <w:sz w:val="32"/>
          <w:szCs w:val="32"/>
        </w:rPr>
        <w:t>名。</w:t>
      </w:r>
      <w:r>
        <w:rPr>
          <w:rFonts w:hint="eastAsia" w:ascii="仿宋_GB2312" w:hAnsi="仿宋_GB2312" w:eastAsia="仿宋_GB2312" w:cs="仿宋_GB2312"/>
          <w:kern w:val="2"/>
          <w:sz w:val="32"/>
          <w:szCs w:val="32"/>
        </w:rPr>
        <w:t>　</w:t>
      </w:r>
    </w:p>
    <w:p>
      <w:pPr>
        <w:pStyle w:val="7"/>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（三）单位绩效目标</w:t>
      </w:r>
    </w:p>
    <w:p>
      <w:pPr>
        <w:pStyle w:val="7"/>
        <w:widowControl/>
        <w:spacing w:before="0" w:beforeAutospacing="0" w:after="0" w:afterAutospacing="0" w:line="560" w:lineRule="exact"/>
        <w:ind w:firstLine="640" w:firstLineChars="200"/>
        <w:jc w:val="both"/>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整体支出绩效目标：</w:t>
      </w:r>
      <w:r>
        <w:rPr>
          <w:rFonts w:hint="eastAsia" w:ascii="仿宋_GB2312" w:hAnsi="仿宋_GB2312" w:eastAsia="仿宋_GB2312" w:cs="仿宋_GB2312"/>
          <w:sz w:val="32"/>
          <w:szCs w:val="32"/>
        </w:rPr>
        <w:t>重新制订规范挂口市场卫生管理制度，摊位管理制度</w:t>
      </w:r>
      <w:r>
        <w:rPr>
          <w:rFonts w:hint="eastAsia" w:ascii="仿宋_GB2312" w:hAnsi="仿宋_GB2312" w:eastAsia="仿宋_GB2312" w:cs="仿宋_GB2312"/>
          <w:kern w:val="2"/>
          <w:sz w:val="32"/>
          <w:szCs w:val="32"/>
        </w:rPr>
        <w:t xml:space="preserve">； </w:t>
      </w:r>
      <w:r>
        <w:rPr>
          <w:rFonts w:hint="eastAsia" w:ascii="仿宋_GB2312" w:hAnsi="仿宋_GB2312" w:eastAsia="仿宋_GB2312" w:cs="仿宋_GB2312"/>
          <w:sz w:val="32"/>
          <w:szCs w:val="32"/>
        </w:rPr>
        <w:t>完善了市场内部管理方案，实行科学规范有序管理</w:t>
      </w:r>
      <w:r>
        <w:rPr>
          <w:rFonts w:hint="eastAsia" w:ascii="仿宋_GB2312" w:hAnsi="仿宋_GB2312" w:eastAsia="仿宋_GB2312" w:cs="仿宋_GB2312"/>
          <w:kern w:val="2"/>
          <w:sz w:val="32"/>
          <w:szCs w:val="32"/>
        </w:rPr>
        <w:t>；</w:t>
      </w:r>
      <w:r>
        <w:rPr>
          <w:rFonts w:hint="eastAsia" w:ascii="仿宋_GB2312" w:hAnsi="仿宋_GB2312" w:eastAsia="仿宋_GB2312" w:cs="仿宋_GB2312"/>
          <w:sz w:val="32"/>
          <w:szCs w:val="32"/>
        </w:rPr>
        <w:t>选举产生主任、副主任、委员，制订管理相关工作制度，发挥自我管理的能力</w:t>
      </w:r>
      <w:r>
        <w:rPr>
          <w:rFonts w:hint="eastAsia" w:ascii="仿宋_GB2312" w:hAnsi="仿宋_GB2312" w:eastAsia="仿宋_GB2312" w:cs="仿宋_GB2312"/>
          <w:kern w:val="2"/>
          <w:sz w:val="32"/>
          <w:szCs w:val="32"/>
        </w:rPr>
        <w:t>。</w:t>
      </w:r>
    </w:p>
    <w:p>
      <w:pPr>
        <w:pStyle w:val="11"/>
        <w:widowControl/>
        <w:spacing w:line="560" w:lineRule="exact"/>
        <w:ind w:firstLine="640"/>
        <w:rPr>
          <w:rFonts w:ascii="Times New Roman" w:hAnsi="Times New Roman" w:eastAsia="黑体"/>
          <w:sz w:val="32"/>
          <w:szCs w:val="32"/>
        </w:rPr>
      </w:pPr>
      <w:r>
        <w:rPr>
          <w:rFonts w:hint="eastAsia" w:ascii="仿宋_GB2312" w:hAnsi="仿宋_GB2312" w:eastAsia="仿宋_GB2312" w:cs="仿宋_GB2312"/>
          <w:kern w:val="2"/>
          <w:sz w:val="32"/>
          <w:szCs w:val="32"/>
        </w:rPr>
        <w:t xml:space="preserve">项目支出绩效目标：2023年度本单位无项目支出。   </w:t>
      </w:r>
    </w:p>
    <w:p>
      <w:pPr>
        <w:pStyle w:val="11"/>
        <w:widowControl/>
        <w:spacing w:line="560" w:lineRule="exact"/>
        <w:ind w:firstLine="640"/>
        <w:rPr>
          <w:rFonts w:ascii="Times New Roman" w:hAnsi="Times New Roman" w:eastAsia="黑体"/>
          <w:sz w:val="32"/>
          <w:szCs w:val="32"/>
        </w:rPr>
      </w:pPr>
      <w:r>
        <w:rPr>
          <w:rFonts w:ascii="Times New Roman" w:hAnsi="Times New Roman" w:eastAsia="黑体"/>
          <w:sz w:val="32"/>
          <w:szCs w:val="32"/>
        </w:rPr>
        <w:t>二、一般公共预算支出情况</w:t>
      </w:r>
    </w:p>
    <w:p>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2024年部门预算资金156.31万元（基本支出156.31万元，项目支出0万元），全年实际支出156.31万元，其中基本支出156.31万元，项目支出0万元，预算执行率100%。　　　　　　</w:t>
      </w:r>
    </w:p>
    <w:p>
      <w:pPr>
        <w:pStyle w:val="11"/>
        <w:widowControl/>
        <w:spacing w:line="560" w:lineRule="exact"/>
        <w:ind w:firstLine="640"/>
        <w:rPr>
          <w:rFonts w:ascii="仿宋_GB2312" w:hAnsi="仿宋_GB2312" w:eastAsia="仿宋_GB2312" w:cs="仿宋_GB2312"/>
          <w:kern w:val="2"/>
          <w:sz w:val="32"/>
          <w:szCs w:val="32"/>
        </w:rPr>
      </w:pPr>
      <w:r>
        <w:rPr>
          <w:rFonts w:ascii="仿宋_GB2312" w:hAnsi="仿宋_GB2312" w:eastAsia="仿宋_GB2312" w:cs="仿宋_GB2312"/>
          <w:kern w:val="2"/>
          <w:sz w:val="32"/>
          <w:szCs w:val="32"/>
        </w:rPr>
        <w:t>（一）基本支出情况</w:t>
      </w:r>
    </w:p>
    <w:p>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本单位2024年度全年预算156.31万元（工资福利支出69.15万元、商品和服务支出85.69万元、对个人和家庭的补助1.46万元、资本性支出0万元），其中一般公共预算财政拨款109.01万元。本单位2024年度基本支出156.31万元（工资福利支出69.15万元、商品和服务支出85.69万元、对个人和家庭的补助1.46万元、资本性支出0万元），其中人员经费70.61万元，公用经费85.69万元。</w:t>
      </w:r>
    </w:p>
    <w:p>
      <w:pPr>
        <w:pStyle w:val="11"/>
        <w:widowControl/>
        <w:spacing w:line="560" w:lineRule="exact"/>
        <w:ind w:firstLine="640"/>
        <w:rPr>
          <w:rFonts w:eastAsia="仿宋_GB2312" w:cs="仿宋_GB2312"/>
          <w:sz w:val="32"/>
          <w:szCs w:val="32"/>
        </w:rPr>
      </w:pPr>
      <w:r>
        <w:rPr>
          <w:rFonts w:hint="eastAsia" w:ascii="仿宋_GB2312" w:hAnsi="仿宋_GB2312" w:eastAsia="仿宋_GB2312" w:cs="仿宋_GB2312"/>
          <w:kern w:val="2"/>
          <w:sz w:val="32"/>
          <w:szCs w:val="32"/>
        </w:rPr>
        <w:t>基本支出主要</w:t>
      </w:r>
      <w:r>
        <w:rPr>
          <w:rFonts w:hint="eastAsia" w:eastAsia="仿宋_GB2312" w:cs="仿宋_GB2312"/>
          <w:sz w:val="32"/>
          <w:szCs w:val="32"/>
        </w:rPr>
        <w:t>是指为保障单位机构正常运转、完成日常工作任务而发生的各项支出，包括用于基本工资、绩效工资、津贴补贴、社会保障缴费等人员经费，办公费、印刷费、水电费、差旅费、公务接待费、维修（护）费等日常公用经费，以及离退休费用等其他对个人和家庭的补助支出。</w:t>
      </w:r>
    </w:p>
    <w:p>
      <w:pPr>
        <w:pStyle w:val="11"/>
        <w:widowControl/>
        <w:numPr>
          <w:ilvl w:val="0"/>
          <w:numId w:val="2"/>
        </w:numPr>
        <w:spacing w:line="560" w:lineRule="exact"/>
        <w:ind w:firstLine="640"/>
        <w:rPr>
          <w:rFonts w:ascii="楷体" w:hAnsi="楷体" w:eastAsia="楷体" w:cs="楷体"/>
          <w:bCs/>
          <w:sz w:val="32"/>
          <w:szCs w:val="32"/>
        </w:rPr>
      </w:pPr>
      <w:r>
        <w:rPr>
          <w:rFonts w:hint="eastAsia" w:ascii="楷体" w:hAnsi="楷体" w:eastAsia="楷体" w:cs="楷体"/>
          <w:bCs/>
          <w:sz w:val="32"/>
          <w:szCs w:val="32"/>
        </w:rPr>
        <w:t>项目支出情况</w:t>
      </w:r>
    </w:p>
    <w:p>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无此项目支出</w:t>
      </w:r>
    </w:p>
    <w:p>
      <w:pPr>
        <w:pStyle w:val="11"/>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三、</w:t>
      </w:r>
      <w:r>
        <w:rPr>
          <w:rFonts w:ascii="Times New Roman" w:hAnsi="Times New Roman" w:eastAsia="黑体"/>
          <w:sz w:val="32"/>
          <w:szCs w:val="32"/>
        </w:rPr>
        <w:t>政府性基金预算支出情况</w:t>
      </w:r>
    </w:p>
    <w:p>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无此项支出。</w:t>
      </w:r>
    </w:p>
    <w:p>
      <w:pPr>
        <w:pStyle w:val="11"/>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国有资本经营预算支出情况</w:t>
      </w:r>
    </w:p>
    <w:p>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无此项支出。</w:t>
      </w:r>
    </w:p>
    <w:p>
      <w:pPr>
        <w:pStyle w:val="11"/>
        <w:widowControl/>
        <w:spacing w:line="560" w:lineRule="exact"/>
        <w:ind w:firstLine="64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社会保险基金预算支出情况</w:t>
      </w:r>
    </w:p>
    <w:p>
      <w:pPr>
        <w:pStyle w:val="11"/>
        <w:widowControl/>
        <w:spacing w:line="560" w:lineRule="exact"/>
        <w:ind w:firstLine="64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无此项支出。</w:t>
      </w:r>
    </w:p>
    <w:p>
      <w:pPr>
        <w:pStyle w:val="11"/>
        <w:widowControl/>
        <w:spacing w:line="560" w:lineRule="exact"/>
        <w:ind w:left="560" w:leftChars="200" w:firstLine="0" w:firstLineChars="0"/>
        <w:rPr>
          <w:rFonts w:ascii="Times New Roman" w:hAnsi="Times New Roman" w:eastAsia="黑体"/>
          <w:sz w:val="32"/>
          <w:szCs w:val="32"/>
        </w:rPr>
      </w:pPr>
      <w:r>
        <w:rPr>
          <w:rFonts w:hint="eastAsia" w:ascii="Times New Roman" w:hAnsi="Times New Roman" w:eastAsia="黑体"/>
          <w:sz w:val="32"/>
          <w:szCs w:val="32"/>
        </w:rPr>
        <w:t>六、</w:t>
      </w:r>
      <w:r>
        <w:rPr>
          <w:rFonts w:ascii="Times New Roman" w:hAnsi="Times New Roman" w:eastAsia="黑体"/>
          <w:sz w:val="32"/>
          <w:szCs w:val="32"/>
        </w:rPr>
        <w:t>部门整体支出绩效情况</w:t>
      </w:r>
    </w:p>
    <w:p>
      <w:pPr>
        <w:pStyle w:val="11"/>
        <w:widowControl/>
        <w:spacing w:line="560" w:lineRule="exact"/>
        <w:ind w:firstLine="0" w:firstLineChars="0"/>
        <w:rPr>
          <w:rFonts w:ascii="仿宋_GB2312" w:hAnsi="仿宋_GB2312" w:eastAsia="仿宋_GB2312" w:cs="仿宋_GB2312"/>
          <w:kern w:val="2"/>
          <w:sz w:val="32"/>
          <w:szCs w:val="32"/>
        </w:rPr>
      </w:pPr>
      <w:r>
        <w:rPr>
          <w:rFonts w:hint="eastAsia" w:ascii="Times New Roman" w:hAnsi="Times New Roman" w:eastAsia="黑体"/>
          <w:sz w:val="32"/>
          <w:szCs w:val="32"/>
        </w:rPr>
        <w:t>　　</w:t>
      </w:r>
      <w:r>
        <w:rPr>
          <w:rFonts w:ascii="仿宋_GB2312" w:hAnsi="仿宋_GB2312" w:eastAsia="仿宋_GB2312" w:cs="仿宋_GB2312"/>
          <w:kern w:val="2"/>
          <w:sz w:val="32"/>
          <w:szCs w:val="32"/>
        </w:rPr>
        <w:t>202</w:t>
      </w:r>
      <w:r>
        <w:rPr>
          <w:rFonts w:hint="eastAsia" w:ascii="仿宋_GB2312" w:hAnsi="仿宋_GB2312" w:eastAsia="仿宋_GB2312" w:cs="仿宋_GB2312"/>
          <w:kern w:val="2"/>
          <w:sz w:val="32"/>
          <w:szCs w:val="32"/>
        </w:rPr>
        <w:t>4</w:t>
      </w:r>
      <w:r>
        <w:rPr>
          <w:rFonts w:ascii="仿宋_GB2312" w:hAnsi="仿宋_GB2312" w:eastAsia="仿宋_GB2312" w:cs="仿宋_GB2312"/>
          <w:kern w:val="2"/>
          <w:sz w:val="32"/>
          <w:szCs w:val="32"/>
        </w:rPr>
        <w:t>年，我</w:t>
      </w:r>
      <w:r>
        <w:rPr>
          <w:rFonts w:hint="eastAsia" w:ascii="仿宋_GB2312" w:hAnsi="仿宋_GB2312" w:eastAsia="仿宋_GB2312" w:cs="仿宋_GB2312"/>
          <w:kern w:val="2"/>
          <w:sz w:val="32"/>
          <w:szCs w:val="32"/>
        </w:rPr>
        <w:t>单位</w:t>
      </w:r>
      <w:r>
        <w:rPr>
          <w:rFonts w:ascii="仿宋_GB2312" w:hAnsi="仿宋_GB2312" w:eastAsia="仿宋_GB2312" w:cs="仿宋_GB2312"/>
          <w:kern w:val="2"/>
          <w:sz w:val="32"/>
          <w:szCs w:val="32"/>
        </w:rPr>
        <w:t>积极履职，资金管理规范，</w:t>
      </w:r>
      <w:r>
        <w:rPr>
          <w:rFonts w:hint="eastAsia" w:ascii="仿宋_GB2312" w:hAnsi="仿宋_GB2312" w:eastAsia="仿宋_GB2312" w:cs="仿宋_GB2312"/>
          <w:kern w:val="2"/>
          <w:sz w:val="32"/>
          <w:szCs w:val="32"/>
        </w:rPr>
        <w:t>资产</w:t>
      </w:r>
      <w:r>
        <w:rPr>
          <w:rFonts w:ascii="仿宋_GB2312" w:hAnsi="仿宋_GB2312" w:eastAsia="仿宋_GB2312" w:cs="仿宋_GB2312"/>
          <w:kern w:val="2"/>
          <w:sz w:val="32"/>
          <w:szCs w:val="32"/>
        </w:rPr>
        <w:t>管理到位，政策执行有力，较好地完成了年度工作目标，有效发挥了财政资金的使用效率。在人员经费支出上</w:t>
      </w:r>
      <w:r>
        <w:rPr>
          <w:rFonts w:hint="eastAsia" w:ascii="仿宋_GB2312" w:hAnsi="仿宋_GB2312" w:eastAsia="仿宋_GB2312" w:cs="仿宋_GB2312"/>
          <w:kern w:val="2"/>
          <w:sz w:val="32"/>
          <w:szCs w:val="32"/>
        </w:rPr>
        <w:t>，</w:t>
      </w:r>
      <w:r>
        <w:rPr>
          <w:rFonts w:ascii="仿宋_GB2312" w:hAnsi="仿宋_GB2312" w:eastAsia="仿宋_GB2312" w:cs="仿宋_GB2312"/>
          <w:kern w:val="2"/>
          <w:sz w:val="32"/>
          <w:szCs w:val="32"/>
        </w:rPr>
        <w:t>严格执行上级的各项制度;在</w:t>
      </w:r>
      <w:r>
        <w:rPr>
          <w:rFonts w:hint="eastAsia" w:ascii="仿宋_GB2312" w:hAnsi="仿宋_GB2312" w:eastAsia="仿宋_GB2312" w:cs="仿宋_GB2312"/>
          <w:kern w:val="2"/>
          <w:sz w:val="32"/>
          <w:szCs w:val="32"/>
        </w:rPr>
        <w:t>公用</w:t>
      </w:r>
      <w:r>
        <w:rPr>
          <w:rFonts w:ascii="仿宋_GB2312" w:hAnsi="仿宋_GB2312" w:eastAsia="仿宋_GB2312" w:cs="仿宋_GB2312"/>
          <w:kern w:val="2"/>
          <w:sz w:val="32"/>
          <w:szCs w:val="32"/>
        </w:rPr>
        <w:t>经费使用上，</w:t>
      </w:r>
      <w:r>
        <w:rPr>
          <w:rFonts w:hint="eastAsia" w:ascii="仿宋_GB2312" w:hAnsi="仿宋_GB2312" w:eastAsia="仿宋_GB2312" w:cs="仿宋_GB2312"/>
          <w:kern w:val="2"/>
          <w:sz w:val="32"/>
          <w:szCs w:val="32"/>
        </w:rPr>
        <w:t>严格执行预算</w:t>
      </w:r>
      <w:r>
        <w:rPr>
          <w:rFonts w:ascii="仿宋_GB2312" w:hAnsi="仿宋_GB2312" w:eastAsia="仿宋_GB2312" w:cs="仿宋_GB2312"/>
          <w:kern w:val="2"/>
          <w:sz w:val="32"/>
          <w:szCs w:val="32"/>
        </w:rPr>
        <w:t>;</w:t>
      </w:r>
      <w:r>
        <w:rPr>
          <w:rFonts w:hint="eastAsia" w:ascii="仿宋_GB2312" w:hAnsi="仿宋_GB2312" w:eastAsia="仿宋_GB2312" w:cs="仿宋_GB2312"/>
          <w:kern w:val="2"/>
          <w:sz w:val="32"/>
          <w:szCs w:val="32"/>
        </w:rPr>
        <w:t>在</w:t>
      </w:r>
      <w:r>
        <w:rPr>
          <w:rFonts w:ascii="仿宋_GB2312" w:hAnsi="仿宋_GB2312" w:eastAsia="仿宋_GB2312" w:cs="仿宋_GB2312"/>
          <w:kern w:val="2"/>
          <w:sz w:val="32"/>
          <w:szCs w:val="32"/>
        </w:rPr>
        <w:t>“三公”经费</w:t>
      </w:r>
      <w:r>
        <w:rPr>
          <w:rFonts w:hint="eastAsia" w:ascii="仿宋_GB2312" w:hAnsi="仿宋_GB2312" w:eastAsia="仿宋_GB2312" w:cs="仿宋_GB2312"/>
          <w:kern w:val="2"/>
          <w:sz w:val="32"/>
          <w:szCs w:val="32"/>
        </w:rPr>
        <w:t>开支上，</w:t>
      </w:r>
      <w:r>
        <w:rPr>
          <w:rFonts w:ascii="仿宋_GB2312" w:hAnsi="仿宋_GB2312" w:eastAsia="仿宋_GB2312" w:cs="仿宋_GB2312"/>
          <w:kern w:val="2"/>
          <w:sz w:val="32"/>
          <w:szCs w:val="32"/>
        </w:rPr>
        <w:t>厉行节约，从严控制，202</w:t>
      </w:r>
      <w:r>
        <w:rPr>
          <w:rFonts w:hint="eastAsia" w:ascii="仿宋_GB2312" w:hAnsi="仿宋_GB2312" w:eastAsia="仿宋_GB2312" w:cs="仿宋_GB2312"/>
          <w:kern w:val="2"/>
          <w:sz w:val="32"/>
          <w:szCs w:val="32"/>
        </w:rPr>
        <w:t>4</w:t>
      </w:r>
      <w:r>
        <w:rPr>
          <w:rFonts w:ascii="仿宋_GB2312" w:hAnsi="仿宋_GB2312" w:eastAsia="仿宋_GB2312" w:cs="仿宋_GB2312"/>
          <w:kern w:val="2"/>
          <w:sz w:val="32"/>
          <w:szCs w:val="32"/>
        </w:rPr>
        <w:t>年度一般公共预算</w:t>
      </w:r>
      <w:r>
        <w:rPr>
          <w:rFonts w:hint="eastAsia" w:ascii="仿宋_GB2312" w:hAnsi="仿宋_GB2312" w:eastAsia="仿宋_GB2312" w:cs="仿宋_GB2312"/>
          <w:kern w:val="2"/>
          <w:sz w:val="32"/>
          <w:szCs w:val="32"/>
        </w:rPr>
        <w:t>拨</w:t>
      </w:r>
      <w:r>
        <w:rPr>
          <w:rFonts w:ascii="仿宋_GB2312" w:hAnsi="仿宋_GB2312" w:eastAsia="仿宋_GB2312" w:cs="仿宋_GB2312"/>
          <w:kern w:val="2"/>
          <w:sz w:val="32"/>
          <w:szCs w:val="32"/>
        </w:rPr>
        <w:t>款中“三公经费”年初预算</w:t>
      </w:r>
      <w:r>
        <w:rPr>
          <w:rFonts w:hint="eastAsia" w:ascii="仿宋_GB2312" w:hAnsi="仿宋_GB2312" w:eastAsia="仿宋_GB2312" w:cs="仿宋_GB2312"/>
          <w:kern w:val="2"/>
          <w:sz w:val="32"/>
          <w:szCs w:val="32"/>
        </w:rPr>
        <w:t>0</w:t>
      </w:r>
      <w:r>
        <w:rPr>
          <w:rFonts w:ascii="仿宋_GB2312" w:hAnsi="仿宋_GB2312" w:eastAsia="仿宋_GB2312" w:cs="仿宋_GB2312"/>
          <w:kern w:val="2"/>
          <w:sz w:val="32"/>
          <w:szCs w:val="32"/>
        </w:rPr>
        <w:t>万元，实际支出</w:t>
      </w:r>
      <w:r>
        <w:rPr>
          <w:rFonts w:hint="eastAsia" w:ascii="仿宋_GB2312" w:hAnsi="仿宋_GB2312" w:eastAsia="仿宋_GB2312" w:cs="仿宋_GB2312"/>
          <w:kern w:val="2"/>
          <w:sz w:val="32"/>
          <w:szCs w:val="32"/>
        </w:rPr>
        <w:t>0</w:t>
      </w:r>
      <w:r>
        <w:rPr>
          <w:rFonts w:ascii="仿宋_GB2312" w:hAnsi="仿宋_GB2312" w:eastAsia="仿宋_GB2312" w:cs="仿宋_GB2312"/>
          <w:kern w:val="2"/>
          <w:sz w:val="32"/>
          <w:szCs w:val="32"/>
        </w:rPr>
        <w:t>万元，为年初预算的</w:t>
      </w:r>
      <w:r>
        <w:rPr>
          <w:rFonts w:hint="eastAsia" w:ascii="仿宋_GB2312" w:hAnsi="仿宋_GB2312" w:eastAsia="仿宋_GB2312" w:cs="仿宋_GB2312"/>
          <w:kern w:val="2"/>
          <w:sz w:val="32"/>
          <w:szCs w:val="32"/>
        </w:rPr>
        <w:t>100</w:t>
      </w:r>
      <w:r>
        <w:rPr>
          <w:rFonts w:ascii="仿宋_GB2312" w:hAnsi="仿宋_GB2312" w:eastAsia="仿宋_GB2312" w:cs="仿宋_GB2312"/>
          <w:kern w:val="2"/>
          <w:sz w:val="32"/>
          <w:szCs w:val="32"/>
        </w:rPr>
        <w:t xml:space="preserve">%。根据《部门整体支出绩效自评表》自评得分 </w:t>
      </w:r>
      <w:r>
        <w:rPr>
          <w:rFonts w:hint="eastAsia" w:ascii="仿宋_GB2312" w:hAnsi="仿宋_GB2312" w:eastAsia="仿宋_GB2312" w:cs="仿宋_GB2312"/>
          <w:kern w:val="2"/>
          <w:sz w:val="32"/>
          <w:szCs w:val="32"/>
        </w:rPr>
        <w:t>98</w:t>
      </w:r>
      <w:r>
        <w:rPr>
          <w:rFonts w:ascii="仿宋_GB2312" w:hAnsi="仿宋_GB2312" w:eastAsia="仿宋_GB2312" w:cs="仿宋_GB2312"/>
          <w:kern w:val="2"/>
          <w:sz w:val="32"/>
          <w:szCs w:val="32"/>
        </w:rPr>
        <w:t>分(详见附表2)，部门整体支出绩效为“优”</w:t>
      </w:r>
    </w:p>
    <w:p>
      <w:pPr>
        <w:widowControl/>
        <w:numPr>
          <w:ilvl w:val="0"/>
          <w:numId w:val="3"/>
        </w:numPr>
        <w:spacing w:line="560" w:lineRule="exact"/>
        <w:ind w:firstLine="640" w:firstLineChars="200"/>
        <w:rPr>
          <w:rFonts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预算财务管理方面</w:t>
      </w:r>
    </w:p>
    <w:p>
      <w:pPr>
        <w:pStyle w:val="2"/>
        <w:spacing w:line="560" w:lineRule="exact"/>
        <w:ind w:firstLine="640"/>
        <w:rPr>
          <w:rFonts w:ascii="Times New Roman" w:hAnsi="Times New Roman" w:eastAsia="仿宋_GB2312"/>
          <w:color w:val="000000"/>
          <w:sz w:val="32"/>
          <w:szCs w:val="32"/>
        </w:rPr>
      </w:pPr>
      <w:r>
        <w:rPr>
          <w:rFonts w:hint="eastAsia" w:ascii="仿宋_GB2312" w:hAnsi="仿宋_GB2312" w:eastAsia="仿宋_GB2312" w:cs="仿宋_GB2312"/>
          <w:kern w:val="2"/>
          <w:sz w:val="32"/>
          <w:szCs w:val="32"/>
        </w:rPr>
        <w:t>1.严格执行预算管理制度，切实降低运行成本。2024年，</w:t>
      </w:r>
      <w:r>
        <w:rPr>
          <w:rFonts w:hint="eastAsia" w:ascii="Times New Roman" w:hAnsi="Times New Roman" w:eastAsia="仿宋_GB2312"/>
          <w:color w:val="000000"/>
          <w:sz w:val="32"/>
          <w:szCs w:val="32"/>
        </w:rPr>
        <w:t>我社严格预算管理，科学安排支出，实时把握支出进度，不断提高资金使用效益，将过“紧日子”贯穿全年，建立健全了收入、支出、政府采购、资产管理以及公务接待、差旅费等财务管理制度，对公务用车、公务租车、公务出差、公务接待、会议费等实行事前审批制度，严格控制各项支出，有效杜绝了资金浪费情况，确保了资金使用的规范性、安全性和有效性，预算执行率达到100%，切实降低运行成本，发挥了财政资金的最大效益。</w:t>
      </w:r>
    </w:p>
    <w:p>
      <w:pPr>
        <w:pStyle w:val="2"/>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2.加强资产管理，确保资产保值增值。根据政府采购和资产管理要求，建立了资产实物管理台账，根据各股室的需求制订了采购计划，按国有资产配置、政府采购和有关规定按程序在电子卖场进行采购活动。</w:t>
      </w:r>
    </w:p>
    <w:p>
      <w:pPr>
        <w:pStyle w:val="2"/>
        <w:spacing w:line="560" w:lineRule="exact"/>
        <w:ind w:firstLine="640"/>
        <w:rPr>
          <w:rFonts w:ascii="仿宋_GB2312" w:hAnsi="仿宋_GB2312" w:eastAsia="仿宋_GB2312" w:cs="仿宋_GB2312"/>
          <w:kern w:val="44"/>
          <w:sz w:val="32"/>
          <w:szCs w:val="32"/>
        </w:rPr>
      </w:pPr>
      <w:r>
        <w:rPr>
          <w:rFonts w:hint="eastAsia" w:ascii="Times New Roman" w:hAnsi="Times New Roman" w:eastAsia="仿宋_GB2312"/>
          <w:color w:val="000000"/>
          <w:sz w:val="32"/>
          <w:szCs w:val="32"/>
        </w:rPr>
        <w:t>（二）</w:t>
      </w:r>
      <w:r>
        <w:rPr>
          <w:rFonts w:hint="eastAsia" w:ascii="仿宋_GB2312" w:hAnsi="仿宋_GB2312" w:eastAsia="仿宋_GB2312" w:cs="仿宋_GB2312"/>
          <w:kern w:val="44"/>
          <w:sz w:val="32"/>
          <w:szCs w:val="32"/>
        </w:rPr>
        <w:t>履职产出效益方面</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一是强化内部管理。中心工作人员11人，其中在编6人，保洁员5人，我们进一步明确了工作职责，进行了有效管理；严格收入管理，健全审批制度，建立奖励机制。完善了市场内部管理方案，实行科学规范有序管理。</w:t>
      </w:r>
    </w:p>
    <w:p>
      <w:pPr>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二是规范市场管理。重新制订规范挂口市场卫生管理制度，摊位管理制度，加大市场内部管理制度。由商粮、工商、食药、住建、公安、社区等多个部门组成，对市场进行了综合整治。</w:t>
      </w:r>
    </w:p>
    <w:p>
      <w:pPr>
        <w:pStyle w:val="2"/>
        <w:spacing w:line="560" w:lineRule="exact"/>
        <w:ind w:firstLine="64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三是优化市场服务。我们认真做好市场服务相关工作，根据区政府挂口农贸市场整治工作会议要求，迅速成立挂口菜市场经营户管理委员会。选举产生主任、副主任、委员，制订管理相关工作制度，发挥自我管理的能力。</w:t>
      </w:r>
    </w:p>
    <w:p>
      <w:pPr>
        <w:pStyle w:val="2"/>
        <w:spacing w:line="560" w:lineRule="exact"/>
        <w:ind w:firstLine="640"/>
        <w:rPr>
          <w:rFonts w:ascii="Times New Roman" w:hAnsi="Times New Roman" w:eastAsia="黑体"/>
          <w:sz w:val="32"/>
          <w:szCs w:val="32"/>
        </w:rPr>
      </w:pPr>
      <w:r>
        <w:rPr>
          <w:rFonts w:ascii="Times New Roman" w:hAnsi="Times New Roman" w:eastAsia="仿宋_GB2312"/>
          <w:color w:val="000000"/>
          <w:sz w:val="32"/>
          <w:szCs w:val="32"/>
        </w:rPr>
        <w:t>七、</w:t>
      </w:r>
      <w:r>
        <w:rPr>
          <w:rFonts w:ascii="Times New Roman" w:hAnsi="Times New Roman" w:eastAsia="黑体"/>
          <w:sz w:val="32"/>
          <w:szCs w:val="32"/>
        </w:rPr>
        <w:t>存在的问题及原因分析</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（一）预算精准性有待进一步提高</w:t>
      </w:r>
      <w:r>
        <w:rPr>
          <w:rFonts w:hint="eastAsia" w:ascii="Times New Roman" w:hAnsi="Times New Roman" w:eastAsia="楷体_GB2312"/>
          <w:bCs/>
          <w:sz w:val="32"/>
          <w:szCs w:val="32"/>
        </w:rPr>
        <w:t>。</w:t>
      </w:r>
      <w:r>
        <w:rPr>
          <w:rFonts w:hint="eastAsia" w:ascii="Times New Roman" w:hAnsi="Times New Roman" w:eastAsia="仿宋_GB2312"/>
          <w:sz w:val="32"/>
          <w:szCs w:val="32"/>
        </w:rPr>
        <w:t>由于预算编制具有不可预见性，年初安排预算时，对各项公用支出的分配安排缺乏统一的硬性标准，导致部分资金使用时需要进行指标调剂。</w:t>
      </w:r>
    </w:p>
    <w:p>
      <w:pPr>
        <w:widowControl/>
        <w:shd w:val="clear" w:color="auto" w:fill="FFFFFF"/>
        <w:spacing w:line="560" w:lineRule="exact"/>
        <w:ind w:firstLine="640" w:firstLineChars="200"/>
        <w:jc w:val="left"/>
        <w:rPr>
          <w:rFonts w:ascii="Times New Roman" w:hAnsi="Times New Roman" w:eastAsia="仿宋_GB2312"/>
          <w:sz w:val="32"/>
          <w:szCs w:val="32"/>
        </w:rPr>
      </w:pPr>
      <w:r>
        <w:rPr>
          <w:rFonts w:hint="eastAsia" w:ascii="仿宋_GB2312" w:hAnsi="仿宋_GB2312" w:eastAsia="仿宋_GB2312" w:cs="仿宋_GB2312"/>
          <w:kern w:val="2"/>
          <w:sz w:val="32"/>
          <w:szCs w:val="32"/>
        </w:rPr>
        <w:t>（二）预算绩效管理意识有待进一步加强，预算绩效管理的工作方法方式有待创新。</w:t>
      </w:r>
      <w:r>
        <w:rPr>
          <w:rFonts w:hint="eastAsia" w:ascii="Times New Roman" w:hAnsi="Times New Roman" w:eastAsia="仿宋_GB2312"/>
          <w:sz w:val="32"/>
          <w:szCs w:val="32"/>
        </w:rPr>
        <w:t>预算绩效管理工作贯穿全年，与各个业务股室息息相关，由于对预算绩效管理的全面性和重要性缺乏深入的了解，统揽全局的意识有所欠缺，导致预算绩效管理工作在推动过程中能够很好地完成各项工作任务，但工作质量难以实现质的飞跃。</w:t>
      </w:r>
    </w:p>
    <w:p>
      <w:pPr>
        <w:widowControl/>
        <w:numPr>
          <w:ilvl w:val="0"/>
          <w:numId w:val="2"/>
        </w:numPr>
        <w:shd w:val="clear" w:color="auto" w:fill="FFFFFF"/>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kern w:val="2"/>
          <w:sz w:val="32"/>
          <w:szCs w:val="32"/>
        </w:rPr>
        <w:t>财务业务水平有待进一步提高。</w:t>
      </w:r>
      <w:r>
        <w:rPr>
          <w:rFonts w:hint="eastAsia" w:ascii="Times New Roman" w:hAnsi="Times New Roman" w:eastAsia="仿宋_GB2312"/>
          <w:sz w:val="32"/>
          <w:szCs w:val="32"/>
        </w:rPr>
        <w:t>由于财务工作内容变化较大，各项制度、政策更新快，加之财务人员忙于琐碎的日常工作，对各项新知识、新业务的学习时间、精力有限，导致财务人员预算绩效管理工作水平一般，在将预算绩效管理转化成工作成果，更好地指导各项工作的开展方面有所欠缺。</w:t>
      </w:r>
    </w:p>
    <w:p>
      <w:pPr>
        <w:widowControl/>
        <w:shd w:val="clear" w:color="auto" w:fill="FFFFFF"/>
        <w:spacing w:line="560"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八、下一步改进措施</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（一）加强预算编制的前瞻性，提高预算编制水平</w:t>
      </w:r>
      <w:r>
        <w:rPr>
          <w:rFonts w:hint="eastAsia" w:ascii="楷体" w:hAnsi="楷体" w:eastAsia="楷体" w:cs="楷体"/>
          <w:sz w:val="32"/>
          <w:szCs w:val="32"/>
        </w:rPr>
        <w:t>。</w:t>
      </w:r>
      <w:r>
        <w:rPr>
          <w:rFonts w:hint="eastAsia" w:ascii="Times New Roman" w:hAnsi="Times New Roman" w:eastAsia="仿宋_GB2312"/>
          <w:sz w:val="32"/>
          <w:szCs w:val="32"/>
        </w:rPr>
        <w:t>进一步提高预算编制的科学性、合理性、严谨性和可控性，紧密结合上一年度预算执行情况和本年度预算收支变化因素，科学、合理地编制本年预算草案，避免出现预算支出与预算执行出现偏差较大的情况。落实预算执行分析，及时了解预算执行差异，合理调整、纠正预算执行偏差，切实提高部门预算收支管理水平。</w:t>
      </w:r>
    </w:p>
    <w:p>
      <w:pPr>
        <w:widowControl/>
        <w:numPr>
          <w:ilvl w:val="0"/>
          <w:numId w:val="4"/>
        </w:numPr>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牢固树立预算绩效管理贯穿全局的理念，进一步创新工作方式方法。切实做好预算绩效管理的上传下达工作，在全单位形成将预算绩效管理意识融入到业务工作中的意识，多向优秀典型案例学习，拓宽工作思路，多想办法，想好办法，自觉提高预算绩效管理能力。</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三）加大财务人员培训力度，提高财务人员从业水平。督促财务人员树立常学常新的理念，及时更新知识体系，通过加大对财务人员预算绩效管理理论水平和实操的培训，提高将预算绩效管理转化成生产力的能力，更好地提高本单位的管理水平，促进各项事业更好发展。</w:t>
      </w:r>
    </w:p>
    <w:p>
      <w:pPr>
        <w:widowControl/>
        <w:shd w:val="clear" w:color="auto" w:fill="FFFFFF"/>
        <w:spacing w:line="560" w:lineRule="exact"/>
        <w:ind w:firstLine="640" w:firstLineChars="200"/>
        <w:rPr>
          <w:rFonts w:ascii="黑体" w:hAnsi="黑体" w:eastAsia="黑体" w:cs="黑体"/>
          <w:color w:val="333333"/>
          <w:sz w:val="32"/>
          <w:szCs w:val="32"/>
          <w:shd w:val="clear" w:color="auto" w:fill="FFFFFF"/>
        </w:rPr>
      </w:pPr>
      <w:r>
        <w:rPr>
          <w:rFonts w:hint="eastAsia" w:ascii="黑体" w:hAnsi="黑体" w:eastAsia="黑体" w:cs="黑体"/>
          <w:color w:val="333333"/>
          <w:sz w:val="32"/>
          <w:szCs w:val="32"/>
          <w:shd w:val="clear" w:color="auto" w:fill="FFFFFF"/>
        </w:rPr>
        <w:t>九、部门整体支出绩效自评结果拟应用和公开情况</w:t>
      </w:r>
    </w:p>
    <w:p>
      <w:pPr>
        <w:widowControl/>
        <w:shd w:val="clear" w:color="auto" w:fill="FFFFFF"/>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对照绩效自评结果，总结经验，发现问题，提出改进的方向和具体措施，促进工作的开展。逐步建立绩效评价与部门预算相结合的结果应用机制，实行绩效评价结果在部门预算编制和执行中的应用，促进财政资金的合理分配与有效使用。</w:t>
      </w:r>
    </w:p>
    <w:p>
      <w:pPr>
        <w:widowControl/>
        <w:shd w:val="clear" w:color="auto" w:fill="FFFFFF"/>
        <w:spacing w:line="560" w:lineRule="exact"/>
        <w:ind w:firstLine="640" w:firstLineChars="200"/>
        <w:rPr>
          <w:rFonts w:ascii="Times New Roman" w:hAnsi="Times New Roman" w:eastAsia="黑体"/>
          <w:sz w:val="32"/>
          <w:szCs w:val="32"/>
        </w:rPr>
      </w:pPr>
      <w:r>
        <w:rPr>
          <w:rFonts w:hint="eastAsia" w:ascii="Times New Roman" w:hAnsi="Times New Roman" w:eastAsia="仿宋_GB2312"/>
          <w:sz w:val="32"/>
          <w:szCs w:val="32"/>
        </w:rPr>
        <w:t>对部门整体支出绩效自评在规定时间内公开至本单位门户网站，确保公开数据真实、完整、准确。</w:t>
      </w:r>
    </w:p>
    <w:p>
      <w:pPr>
        <w:widowControl/>
        <w:spacing w:line="560" w:lineRule="exact"/>
        <w:ind w:firstLine="640" w:firstLineChars="200"/>
        <w:rPr>
          <w:rFonts w:ascii="Times New Roman" w:hAnsi="Times New Roman" w:eastAsia="黑体"/>
          <w:sz w:val="32"/>
          <w:szCs w:val="32"/>
        </w:rPr>
      </w:pPr>
      <w:r>
        <w:rPr>
          <w:rFonts w:ascii="Times New Roman" w:hAnsi="Times New Roman" w:eastAsia="黑体"/>
          <w:sz w:val="32"/>
          <w:szCs w:val="32"/>
        </w:rPr>
        <w:t>其他需要说明的情况</w:t>
      </w:r>
    </w:p>
    <w:p>
      <w:pPr>
        <w:widowControl/>
        <w:spacing w:line="64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无。</w:t>
      </w:r>
      <w:r>
        <w:rPr>
          <w:rFonts w:hint="eastAsia" w:ascii="Times New Roman" w:hAnsi="Times New Roman" w:eastAsia="仿宋_GB2312"/>
          <w:sz w:val="32"/>
          <w:szCs w:val="32"/>
        </w:rPr>
        <w:br w:type="page"/>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报告需要以下附件：</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1.部门整体支出绩效评价基础数据表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2.部门整体支出绩效自评表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3.项目支出绩效自评表（一个一级项目支出一张表）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4.政府性基金预算支出情况表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5.国有资本经营预算支出情况表</w:t>
      </w:r>
    </w:p>
    <w:p>
      <w:pPr>
        <w:widowControl/>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6.社会保险基金预算支出情况表</w:t>
      </w:r>
    </w:p>
    <w:p>
      <w:pPr>
        <w:widowControl/>
        <w:spacing w:line="640" w:lineRule="exact"/>
        <w:rPr>
          <w:rFonts w:ascii="黑体" w:hAnsi="黑体" w:eastAsia="黑体" w:cs="黑体"/>
          <w:sz w:val="32"/>
          <w:szCs w:val="32"/>
        </w:rPr>
      </w:pPr>
      <w:r>
        <w:rPr>
          <w:rFonts w:hint="eastAsia" w:ascii="仿宋_GB2312" w:hAnsi="仿宋_GB2312" w:eastAsia="仿宋_GB2312" w:cs="仿宋_GB2312"/>
          <w:sz w:val="32"/>
          <w:szCs w:val="32"/>
        </w:rPr>
        <w:br w:type="page"/>
      </w:r>
      <w:r>
        <w:rPr>
          <w:rFonts w:hint="eastAsia" w:ascii="黑体" w:hAnsi="黑体" w:eastAsia="黑体" w:cs="黑体"/>
          <w:sz w:val="32"/>
          <w:szCs w:val="32"/>
        </w:rPr>
        <w:t>附件5</w:t>
      </w:r>
    </w:p>
    <w:p>
      <w:pPr>
        <w:spacing w:beforeLines="50" w:afterLines="50"/>
        <w:jc w:val="center"/>
        <w:rPr>
          <w:rFonts w:ascii="方正小标宋简体" w:hAnsi="方正小标宋简体" w:eastAsia="方正小标宋简体" w:cs="方正小标宋简体"/>
          <w:spacing w:val="-6"/>
          <w:sz w:val="36"/>
          <w:szCs w:val="36"/>
        </w:rPr>
      </w:pPr>
      <w:r>
        <w:rPr>
          <w:rFonts w:hint="eastAsia" w:ascii="方正小标宋简体" w:hAnsi="方正小标宋简体" w:eastAsia="方正小标宋简体" w:cs="方正小标宋简体"/>
          <w:sz w:val="36"/>
          <w:szCs w:val="36"/>
        </w:rPr>
        <w:t>部门整体支出</w:t>
      </w:r>
      <w:r>
        <w:rPr>
          <w:rFonts w:hint="eastAsia" w:ascii="方正小标宋简体" w:hAnsi="方正小标宋简体" w:eastAsia="方正小标宋简体" w:cs="方正小标宋简体"/>
          <w:spacing w:val="-6"/>
          <w:sz w:val="36"/>
          <w:szCs w:val="36"/>
        </w:rPr>
        <w:t>绩效自评工作考核评分表</w:t>
      </w:r>
    </w:p>
    <w:tbl>
      <w:tblPr>
        <w:tblStyle w:val="8"/>
        <w:tblW w:w="9941" w:type="dxa"/>
        <w:jc w:val="center"/>
        <w:tblLayout w:type="fixed"/>
        <w:tblCellMar>
          <w:top w:w="0" w:type="dxa"/>
          <w:left w:w="108" w:type="dxa"/>
          <w:bottom w:w="0" w:type="dxa"/>
          <w:right w:w="108" w:type="dxa"/>
        </w:tblCellMar>
      </w:tblPr>
      <w:tblGrid>
        <w:gridCol w:w="745"/>
        <w:gridCol w:w="1174"/>
        <w:gridCol w:w="5000"/>
        <w:gridCol w:w="3022"/>
      </w:tblGrid>
      <w:tr>
        <w:tblPrEx>
          <w:tblCellMar>
            <w:top w:w="0" w:type="dxa"/>
            <w:left w:w="108" w:type="dxa"/>
            <w:bottom w:w="0" w:type="dxa"/>
            <w:right w:w="108" w:type="dxa"/>
          </w:tblCellMar>
        </w:tblPrEx>
        <w:trPr>
          <w:tblHeader/>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一级指标</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二级指标</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评分标准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黑体"/>
                <w:bCs/>
                <w:sz w:val="21"/>
                <w:szCs w:val="21"/>
              </w:rPr>
            </w:pPr>
            <w:r>
              <w:rPr>
                <w:rFonts w:ascii="Times New Roman" w:hAnsi="Times New Roman" w:eastAsia="黑体"/>
                <w:bCs/>
                <w:sz w:val="21"/>
                <w:szCs w:val="21"/>
              </w:rPr>
              <w:t>所需佐证材料</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布置工作</w:t>
            </w:r>
          </w:p>
          <w:p>
            <w:pPr>
              <w:spacing w:line="300" w:lineRule="exact"/>
              <w:jc w:val="center"/>
              <w:rPr>
                <w:rFonts w:ascii="Times New Roman" w:hAnsi="Times New Roman" w:eastAsia="仿宋_GB2312"/>
                <w:sz w:val="20"/>
                <w:szCs w:val="20"/>
              </w:rPr>
            </w:pPr>
          </w:p>
          <w:p>
            <w:pPr>
              <w:spacing w:line="300" w:lineRule="exact"/>
              <w:jc w:val="left"/>
              <w:rPr>
                <w:rFonts w:ascii="Times New Roman" w:hAnsi="Times New Roman" w:eastAsia="仿宋_GB2312"/>
                <w:sz w:val="20"/>
                <w:szCs w:val="20"/>
              </w:rPr>
            </w:pPr>
            <w:r>
              <w:rPr>
                <w:rFonts w:ascii="Times New Roman" w:hAnsi="Times New Roman" w:eastAsia="仿宋_GB2312"/>
                <w:sz w:val="20"/>
                <w:szCs w:val="20"/>
              </w:rPr>
              <w:t>10分</w:t>
            </w:r>
          </w:p>
        </w:tc>
        <w:tc>
          <w:tcPr>
            <w:tcW w:w="1174" w:type="dxa"/>
            <w:tcBorders>
              <w:top w:val="single" w:color="auto" w:sz="4" w:space="0"/>
              <w:left w:val="nil"/>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自评通知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（8分）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印发绩效自评通知的得2分，否则不得分。</w:t>
            </w:r>
          </w:p>
          <w:p>
            <w:pPr>
              <w:spacing w:line="300" w:lineRule="exac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按照本规程规定，绩效自评通知包括自评范围、自评主要依据、自评主要内容、自评程序和步骤、有关要求等内容，并附有本通知要求的附件的，得6分；否则缺1项扣1分，最多扣6分。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绩效自评通知盖章的电子版</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工作小组</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成立绩效自评工作小组的得2分，否则不得分。</w:t>
            </w:r>
          </w:p>
        </w:tc>
        <w:tc>
          <w:tcPr>
            <w:tcW w:w="3022"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ascii="Times New Roman" w:hAnsi="Times New Roman" w:eastAsia="仿宋_GB2312"/>
                <w:sz w:val="20"/>
                <w:szCs w:val="20"/>
              </w:rPr>
              <w:t>本部门、本单位预算绩效管理领导小组/绩效评价工作小组有关文件盖章的电子版</w:t>
            </w:r>
          </w:p>
        </w:tc>
      </w:tr>
      <w:tr>
        <w:tblPrEx>
          <w:tblCellMar>
            <w:top w:w="0" w:type="dxa"/>
            <w:left w:w="108" w:type="dxa"/>
            <w:bottom w:w="0" w:type="dxa"/>
            <w:right w:w="108" w:type="dxa"/>
          </w:tblCellMar>
        </w:tblPrEx>
        <w:trPr>
          <w:jc w:val="center"/>
        </w:trPr>
        <w:tc>
          <w:tcPr>
            <w:tcW w:w="745" w:type="dxa"/>
            <w:vMerge w:val="restart"/>
            <w:tcBorders>
              <w:top w:val="single" w:color="auto" w:sz="4" w:space="0"/>
              <w:left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实施评价</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单位自查</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5000" w:type="dxa"/>
            <w:tcBorders>
              <w:top w:val="single" w:color="auto" w:sz="4" w:space="0"/>
              <w:left w:val="nil"/>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市级</w:t>
            </w:r>
            <w:r>
              <w:rPr>
                <w:rFonts w:ascii="Times New Roman" w:hAnsi="Times New Roman" w:eastAsia="仿宋_GB2312"/>
                <w:sz w:val="20"/>
                <w:szCs w:val="20"/>
              </w:rPr>
              <w:t>预算部门本级和所属单位都要开展绩效自查，转移支付项目单位都要开展绩效自查，</w:t>
            </w:r>
            <w:r>
              <w:rPr>
                <w:rFonts w:hint="eastAsia" w:ascii="Times New Roman" w:hAnsi="Times New Roman" w:eastAsia="仿宋_GB2312"/>
                <w:sz w:val="20"/>
                <w:szCs w:val="20"/>
              </w:rPr>
              <w:t>县、区</w:t>
            </w:r>
            <w:r>
              <w:rPr>
                <w:rFonts w:ascii="Times New Roman" w:hAnsi="Times New Roman" w:eastAsia="仿宋_GB2312"/>
                <w:sz w:val="20"/>
                <w:szCs w:val="20"/>
              </w:rPr>
              <w:t>级主管部门都要汇总本区域转移支付情况；以上各项每发现一个单位没有做相应工作的，扣1分，最多扣10分。</w:t>
            </w:r>
          </w:p>
        </w:tc>
        <w:tc>
          <w:tcPr>
            <w:tcW w:w="3022" w:type="dxa"/>
            <w:tcBorders>
              <w:top w:val="single" w:color="auto" w:sz="4" w:space="0"/>
              <w:left w:val="nil"/>
              <w:bottom w:val="single" w:color="auto" w:sz="4" w:space="0"/>
              <w:right w:val="single" w:color="auto" w:sz="4" w:space="0"/>
            </w:tcBorders>
            <w:noWrap/>
            <w:vAlign w:val="center"/>
          </w:tcPr>
          <w:p>
            <w:pPr>
              <w:numPr>
                <w:ilvl w:val="0"/>
                <w:numId w:val="5"/>
              </w:numPr>
              <w:spacing w:line="300" w:lineRule="exact"/>
              <w:rPr>
                <w:rFonts w:ascii="Times New Roman" w:hAnsi="Times New Roman" w:eastAsia="仿宋_GB2312"/>
                <w:sz w:val="20"/>
                <w:szCs w:val="20"/>
              </w:rPr>
            </w:pPr>
            <w:r>
              <w:rPr>
                <w:rFonts w:ascii="Times New Roman" w:hAnsi="Times New Roman" w:eastAsia="仿宋_GB2312"/>
                <w:sz w:val="20"/>
                <w:szCs w:val="20"/>
              </w:rPr>
              <w:t>转移支付项目单位名称和资</w:t>
            </w:r>
            <w:r>
              <w:rPr>
                <w:rFonts w:hint="eastAsia" w:ascii="Times New Roman" w:hAnsi="Times New Roman" w:eastAsia="仿宋_GB2312"/>
                <w:sz w:val="20"/>
                <w:szCs w:val="20"/>
              </w:rPr>
              <w:t xml:space="preserve"> </w:t>
            </w:r>
            <w:r>
              <w:rPr>
                <w:rFonts w:ascii="Times New Roman" w:hAnsi="Times New Roman" w:eastAsia="仿宋_GB2312"/>
                <w:sz w:val="20"/>
                <w:szCs w:val="20"/>
              </w:rPr>
              <w:t>金情况清单</w:t>
            </w:r>
          </w:p>
          <w:p>
            <w:pPr>
              <w:numPr>
                <w:ilvl w:val="0"/>
                <w:numId w:val="5"/>
              </w:numPr>
              <w:spacing w:line="300" w:lineRule="exact"/>
              <w:rPr>
                <w:rFonts w:ascii="Times New Roman" w:hAnsi="Times New Roman" w:eastAsia="仿宋_GB2312"/>
                <w:sz w:val="20"/>
                <w:szCs w:val="20"/>
              </w:rPr>
            </w:pPr>
            <w:r>
              <w:rPr>
                <w:rFonts w:ascii="Times New Roman" w:hAnsi="Times New Roman" w:eastAsia="仿宋_GB2312"/>
                <w:sz w:val="20"/>
                <w:szCs w:val="20"/>
              </w:rPr>
              <w:t>有转移支付资金的各</w:t>
            </w:r>
            <w:r>
              <w:rPr>
                <w:rFonts w:hint="eastAsia" w:ascii="Times New Roman" w:hAnsi="Times New Roman" w:eastAsia="仿宋_GB2312"/>
                <w:sz w:val="20"/>
                <w:szCs w:val="20"/>
              </w:rPr>
              <w:t>县区</w:t>
            </w:r>
            <w:r>
              <w:rPr>
                <w:rFonts w:ascii="Times New Roman" w:hAnsi="Times New Roman" w:eastAsia="仿宋_GB2312"/>
                <w:sz w:val="20"/>
                <w:szCs w:val="20"/>
              </w:rPr>
              <w:t>主管部门汇总情况的盖章PDF版　</w:t>
            </w:r>
          </w:p>
        </w:tc>
      </w:tr>
      <w:tr>
        <w:tblPrEx>
          <w:tblCellMar>
            <w:top w:w="0" w:type="dxa"/>
            <w:left w:w="108" w:type="dxa"/>
            <w:bottom w:w="0" w:type="dxa"/>
            <w:right w:w="108" w:type="dxa"/>
          </w:tblCellMar>
        </w:tblPrEx>
        <w:trPr>
          <w:jc w:val="center"/>
        </w:trPr>
        <w:tc>
          <w:tcPr>
            <w:tcW w:w="745" w:type="dxa"/>
            <w:vMerge w:val="continue"/>
            <w:tcBorders>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nil"/>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提交报告</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（10分）</w:t>
            </w:r>
          </w:p>
        </w:tc>
        <w:tc>
          <w:tcPr>
            <w:tcW w:w="8022" w:type="dxa"/>
            <w:gridSpan w:val="2"/>
            <w:tcBorders>
              <w:top w:val="nil"/>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按时向</w:t>
            </w:r>
            <w:r>
              <w:rPr>
                <w:rFonts w:hint="eastAsia" w:ascii="Times New Roman" w:hAnsi="Times New Roman" w:eastAsia="仿宋_GB2312"/>
                <w:sz w:val="20"/>
                <w:szCs w:val="20"/>
              </w:rPr>
              <w:t>市财政局</w:t>
            </w:r>
            <w:r>
              <w:rPr>
                <w:rFonts w:ascii="Times New Roman" w:hAnsi="Times New Roman" w:eastAsia="仿宋_GB2312"/>
                <w:sz w:val="20"/>
                <w:szCs w:val="20"/>
              </w:rPr>
              <w:t>报送报告的得10分；每推迟一个工作日报送报告的扣1分，最多扣10分。</w:t>
            </w:r>
          </w:p>
        </w:tc>
      </w:tr>
      <w:tr>
        <w:tblPrEx>
          <w:tblCellMar>
            <w:top w:w="0" w:type="dxa"/>
            <w:left w:w="108" w:type="dxa"/>
            <w:bottom w:w="0" w:type="dxa"/>
            <w:right w:w="108" w:type="dxa"/>
          </w:tblCellMar>
        </w:tblPrEx>
        <w:trPr>
          <w:trHeight w:val="740" w:hRule="atLeast"/>
          <w:jc w:val="center"/>
        </w:trPr>
        <w:tc>
          <w:tcPr>
            <w:tcW w:w="745" w:type="dxa"/>
            <w:vMerge w:val="restart"/>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自评报告</w:t>
            </w:r>
          </w:p>
          <w:p>
            <w:pPr>
              <w:spacing w:line="300" w:lineRule="exact"/>
              <w:jc w:val="center"/>
              <w:rPr>
                <w:rFonts w:ascii="Times New Roman" w:hAnsi="Times New Roman" w:eastAsia="仿宋_GB2312"/>
                <w:sz w:val="20"/>
                <w:szCs w:val="20"/>
              </w:rPr>
            </w:pP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70分</w:t>
            </w: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完整性</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sz w:val="20"/>
                <w:szCs w:val="20"/>
              </w:rPr>
            </w:pPr>
            <w:r>
              <w:rPr>
                <w:rFonts w:ascii="Times New Roman" w:hAnsi="Times New Roman" w:eastAsia="仿宋_GB2312"/>
                <w:sz w:val="20"/>
                <w:szCs w:val="20"/>
              </w:rPr>
              <w:t>1</w:t>
            </w:r>
            <w:r>
              <w:rPr>
                <w:rFonts w:hint="eastAsia" w:ascii="Times New Roman" w:hAnsi="Times New Roman" w:eastAsia="仿宋_GB2312"/>
                <w:sz w:val="20"/>
                <w:szCs w:val="20"/>
              </w:rPr>
              <w:t>.</w:t>
            </w:r>
            <w:r>
              <w:rPr>
                <w:rFonts w:ascii="Times New Roman" w:hAnsi="Times New Roman" w:eastAsia="仿宋_GB2312"/>
                <w:sz w:val="20"/>
                <w:szCs w:val="20"/>
              </w:rPr>
              <w:t>绩效自评报告正文部分内容齐全的，得8分；否则每少一个部分扣2分，最多扣8分。</w:t>
            </w:r>
          </w:p>
          <w:p>
            <w:pPr>
              <w:jc w:val="left"/>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绩效自评报告附件部分内容齐全的，得7分；否则每少一个部分扣2分，最多扣7分。</w:t>
            </w:r>
          </w:p>
        </w:tc>
      </w:tr>
      <w:tr>
        <w:tblPrEx>
          <w:tblCellMar>
            <w:top w:w="0" w:type="dxa"/>
            <w:left w:w="108" w:type="dxa"/>
            <w:bottom w:w="0" w:type="dxa"/>
            <w:right w:w="108" w:type="dxa"/>
          </w:tblCellMar>
        </w:tblPrEx>
        <w:trPr>
          <w:trHeight w:val="2143"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绩效</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自评表</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pPr>
              <w:rPr>
                <w:rFonts w:ascii="Times New Roman" w:hAnsi="Times New Roman" w:eastAsia="仿宋_GB2312"/>
                <w:sz w:val="20"/>
                <w:szCs w:val="20"/>
              </w:rPr>
            </w:pPr>
            <w:r>
              <w:rPr>
                <w:rFonts w:ascii="Times New Roman" w:hAnsi="Times New Roman" w:eastAsia="仿宋_GB2312"/>
                <w:sz w:val="20"/>
                <w:szCs w:val="20"/>
              </w:rPr>
              <w:t>1、部门整体支出和项目支出绩效指标反映产出、效益、服务对象满意度方面的指标和预算执行率的权重符合《</w:t>
            </w:r>
            <w:r>
              <w:rPr>
                <w:rFonts w:hint="eastAsia" w:ascii="Times New Roman" w:hAnsi="Times New Roman" w:eastAsia="仿宋_GB2312"/>
                <w:sz w:val="20"/>
                <w:szCs w:val="20"/>
              </w:rPr>
              <w:t>岳阳市市级</w:t>
            </w:r>
            <w:r>
              <w:rPr>
                <w:rFonts w:ascii="Times New Roman" w:hAnsi="Times New Roman" w:eastAsia="仿宋_GB2312"/>
                <w:sz w:val="20"/>
                <w:szCs w:val="20"/>
              </w:rPr>
              <w:t>预算部门绩效自评操作规程》要求的，得5分，否则按比例扣除相应的分数。</w:t>
            </w:r>
          </w:p>
          <w:p>
            <w:pPr>
              <w:rPr>
                <w:rFonts w:ascii="Times New Roman" w:hAnsi="Times New Roman" w:eastAsia="仿宋_GB2312"/>
                <w:sz w:val="20"/>
                <w:szCs w:val="20"/>
              </w:rPr>
            </w:pPr>
            <w:r>
              <w:rPr>
                <w:rFonts w:ascii="Times New Roman" w:hAnsi="Times New Roman" w:eastAsia="仿宋_GB2312"/>
                <w:sz w:val="20"/>
                <w:szCs w:val="20"/>
              </w:rPr>
              <w:t>2</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部门整体支出和项目支出绩效指标全部细化到三级指标的，得5分；部分细化的，酌情扣分；没有细化的，不得分。</w:t>
            </w:r>
          </w:p>
          <w:p>
            <w:pPr>
              <w:jc w:val="left"/>
              <w:rPr>
                <w:rFonts w:ascii="Times New Roman" w:hAnsi="Times New Roman" w:eastAsia="仿宋_GB2312"/>
                <w:sz w:val="20"/>
                <w:szCs w:val="20"/>
              </w:rPr>
            </w:pPr>
            <w:r>
              <w:rPr>
                <w:rFonts w:ascii="Times New Roman" w:hAnsi="Times New Roman" w:eastAsia="仿宋_GB2312"/>
                <w:sz w:val="20"/>
                <w:szCs w:val="20"/>
              </w:rPr>
              <w:t>3</w:t>
            </w:r>
            <w:r>
              <w:rPr>
                <w:rFonts w:hint="eastAsia" w:ascii="Times New Roman" w:hAnsi="Times New Roman" w:eastAsia="仿宋_GB2312"/>
                <w:sz w:val="20"/>
                <w:szCs w:val="20"/>
              </w:rPr>
              <w:t>.</w:t>
            </w:r>
            <w:r>
              <w:rPr>
                <w:rFonts w:ascii="Times New Roman" w:hAnsi="Times New Roman" w:eastAsia="仿宋_GB2312"/>
                <w:sz w:val="20"/>
                <w:szCs w:val="20"/>
              </w:rPr>
              <w:t>部门整体支出和项目支出三级绩效指标内涵明确、具体、可衡量的得5分；突出核心指标，精简实用的得3分；指标与部门整体支出和项目支出密切相关，全面反映产出和效益的得2分；否则，每项酌情扣分，最多扣10分。</w:t>
            </w:r>
          </w:p>
        </w:tc>
      </w:tr>
      <w:tr>
        <w:tblPrEx>
          <w:tblCellMar>
            <w:top w:w="0" w:type="dxa"/>
            <w:left w:w="108" w:type="dxa"/>
            <w:bottom w:w="0" w:type="dxa"/>
            <w:right w:w="108" w:type="dxa"/>
          </w:tblCellMar>
        </w:tblPrEx>
        <w:trPr>
          <w:trHeight w:val="119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jc w:val="center"/>
              <w:rPr>
                <w:rFonts w:ascii="Times New Roman" w:hAnsi="Times New Roman"/>
              </w:rPr>
            </w:pPr>
          </w:p>
          <w:p>
            <w:pPr>
              <w:jc w:val="center"/>
              <w:rPr>
                <w:rFonts w:ascii="Times New Roman" w:hAnsi="Times New Roman" w:eastAsia="仿宋_GB2312"/>
                <w:sz w:val="20"/>
                <w:szCs w:val="20"/>
              </w:rPr>
            </w:pPr>
            <w:r>
              <w:rPr>
                <w:rFonts w:ascii="Times New Roman" w:hAnsi="Times New Roman" w:eastAsia="仿宋_GB2312"/>
                <w:sz w:val="20"/>
                <w:szCs w:val="20"/>
              </w:rPr>
              <w:t>反映问</w:t>
            </w:r>
          </w:p>
          <w:p>
            <w:pPr>
              <w:jc w:val="center"/>
              <w:rPr>
                <w:rFonts w:ascii="Times New Roman" w:hAnsi="Times New Roman" w:eastAsia="仿宋_GB2312"/>
                <w:sz w:val="20"/>
                <w:szCs w:val="20"/>
              </w:rPr>
            </w:pPr>
            <w:r>
              <w:rPr>
                <w:rFonts w:ascii="Times New Roman" w:hAnsi="Times New Roman" w:eastAsia="仿宋_GB2312"/>
                <w:sz w:val="20"/>
                <w:szCs w:val="20"/>
              </w:rPr>
              <w:t>题情况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（20分）</w:t>
            </w:r>
          </w:p>
        </w:tc>
        <w:tc>
          <w:tcPr>
            <w:tcW w:w="8022" w:type="dxa"/>
            <w:gridSpan w:val="2"/>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sz w:val="20"/>
                <w:szCs w:val="20"/>
              </w:rPr>
            </w:pPr>
            <w:r>
              <w:rPr>
                <w:rFonts w:ascii="Times New Roman" w:hAnsi="Times New Roman" w:eastAsia="仿宋_GB2312"/>
                <w:sz w:val="20"/>
                <w:szCs w:val="20"/>
              </w:rPr>
              <w:t>从预算和预算绩效管理，部门履职效能，资金分配、使用和管理，资产和财务管理，政府采购等方面归纳问题、分析原因全面的，得20分；反映问题、分析原因较全面的，得16—18分；反映问题、分析原因不全面的，得13—15分；问题未归纳且过于简单的，得10—12分；只提出资金不足问题的不得分；其他情况酌情扣分。　</w:t>
            </w:r>
          </w:p>
        </w:tc>
      </w:tr>
      <w:tr>
        <w:tblPrEx>
          <w:tblCellMar>
            <w:top w:w="0" w:type="dxa"/>
            <w:left w:w="108" w:type="dxa"/>
            <w:bottom w:w="0" w:type="dxa"/>
            <w:right w:w="108" w:type="dxa"/>
          </w:tblCellMar>
        </w:tblPrEx>
        <w:trPr>
          <w:trHeight w:val="627" w:hRule="atLeast"/>
          <w:jc w:val="center"/>
        </w:trPr>
        <w:tc>
          <w:tcPr>
            <w:tcW w:w="745" w:type="dxa"/>
            <w:vMerge w:val="continue"/>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p>
        </w:tc>
        <w:tc>
          <w:tcPr>
            <w:tcW w:w="1174" w:type="dxa"/>
            <w:tcBorders>
              <w:top w:val="single" w:color="auto" w:sz="4" w:space="0"/>
              <w:left w:val="nil"/>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建议情况</w:t>
            </w:r>
          </w:p>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（15分）</w:t>
            </w:r>
          </w:p>
        </w:tc>
        <w:tc>
          <w:tcPr>
            <w:tcW w:w="8022" w:type="dxa"/>
            <w:gridSpan w:val="2"/>
            <w:tcBorders>
              <w:top w:val="single" w:color="auto" w:sz="4" w:space="0"/>
              <w:left w:val="nil"/>
              <w:bottom w:val="single" w:color="auto" w:sz="4" w:space="0"/>
              <w:right w:val="single" w:color="auto" w:sz="4" w:space="0"/>
            </w:tcBorders>
            <w:noWrap/>
            <w:vAlign w:val="center"/>
          </w:tcPr>
          <w:p>
            <w:pPr>
              <w:jc w:val="left"/>
              <w:rPr>
                <w:rFonts w:ascii="Times New Roman" w:hAnsi="Times New Roman" w:eastAsia="仿宋_GB2312"/>
                <w:sz w:val="20"/>
                <w:szCs w:val="20"/>
              </w:rPr>
            </w:pPr>
            <w:r>
              <w:rPr>
                <w:rFonts w:ascii="Times New Roman" w:hAnsi="Times New Roman" w:eastAsia="仿宋_GB2312"/>
                <w:sz w:val="20"/>
                <w:szCs w:val="20"/>
              </w:rPr>
              <w:t>建议与问题对应且全面的得15分，建议比较全面的得12—14分，建议不全面的得9—11分，建议过于简单的得6—8分，只提出加大资金投入建议的不得分；其他情况酌情扣分。</w:t>
            </w:r>
          </w:p>
        </w:tc>
      </w:tr>
      <w:tr>
        <w:tblPrEx>
          <w:tblCellMar>
            <w:top w:w="0" w:type="dxa"/>
            <w:left w:w="108" w:type="dxa"/>
            <w:bottom w:w="0" w:type="dxa"/>
            <w:right w:w="108" w:type="dxa"/>
          </w:tblCellMar>
        </w:tblPrEx>
        <w:trPr>
          <w:trHeight w:val="495"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合计</w:t>
            </w:r>
          </w:p>
        </w:tc>
        <w:tc>
          <w:tcPr>
            <w:tcW w:w="1174" w:type="dxa"/>
            <w:tcBorders>
              <w:top w:val="single" w:color="auto" w:sz="4" w:space="0"/>
              <w:left w:val="single" w:color="auto" w:sz="4" w:space="0"/>
              <w:bottom w:val="single" w:color="auto" w:sz="4" w:space="0"/>
              <w:right w:val="single" w:color="auto" w:sz="4" w:space="0"/>
            </w:tcBorders>
            <w:noWrap/>
            <w:vAlign w:val="center"/>
          </w:tcPr>
          <w:p>
            <w:pPr>
              <w:spacing w:line="300" w:lineRule="exact"/>
              <w:jc w:val="center"/>
              <w:rPr>
                <w:rFonts w:ascii="Times New Roman" w:hAnsi="Times New Roman" w:eastAsia="仿宋_GB2312"/>
                <w:sz w:val="20"/>
                <w:szCs w:val="20"/>
              </w:rPr>
            </w:pPr>
            <w:r>
              <w:rPr>
                <w:rFonts w:ascii="Times New Roman" w:hAnsi="Times New Roman" w:eastAsia="仿宋_GB2312"/>
                <w:sz w:val="20"/>
                <w:szCs w:val="20"/>
              </w:rPr>
              <w:t>100分</w:t>
            </w:r>
          </w:p>
        </w:tc>
        <w:tc>
          <w:tcPr>
            <w:tcW w:w="8022" w:type="dxa"/>
            <w:gridSpan w:val="2"/>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Times New Roman" w:hAnsi="Times New Roman" w:eastAsia="仿宋_GB2312"/>
                <w:sz w:val="20"/>
                <w:szCs w:val="20"/>
              </w:rPr>
            </w:pPr>
            <w:r>
              <w:rPr>
                <w:rFonts w:hint="eastAsia" w:ascii="Times New Roman" w:hAnsi="Times New Roman" w:eastAsia="仿宋_GB2312"/>
                <w:sz w:val="20"/>
                <w:szCs w:val="20"/>
              </w:rPr>
              <w:t>98</w:t>
            </w:r>
          </w:p>
        </w:tc>
      </w:tr>
    </w:tbl>
    <w:p>
      <w:pPr>
        <w:spacing w:line="360" w:lineRule="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9E57AF"/>
    <w:multiLevelType w:val="singleLevel"/>
    <w:tmpl w:val="C19E57AF"/>
    <w:lvl w:ilvl="0" w:tentative="0">
      <w:start w:val="2"/>
      <w:numFmt w:val="chineseCounting"/>
      <w:suff w:val="nothing"/>
      <w:lvlText w:val="（%1）"/>
      <w:lvlJc w:val="left"/>
      <w:rPr>
        <w:rFonts w:hint="eastAsia" w:ascii="楷体" w:hAnsi="楷体" w:eastAsia="楷体" w:cs="楷体"/>
        <w:sz w:val="32"/>
        <w:szCs w:val="32"/>
      </w:rPr>
    </w:lvl>
  </w:abstractNum>
  <w:abstractNum w:abstractNumId="1">
    <w:nsid w:val="DA81C459"/>
    <w:multiLevelType w:val="singleLevel"/>
    <w:tmpl w:val="DA81C459"/>
    <w:lvl w:ilvl="0" w:tentative="0">
      <w:start w:val="2"/>
      <w:numFmt w:val="chineseCounting"/>
      <w:suff w:val="nothing"/>
      <w:lvlText w:val="（%1）"/>
      <w:lvlJc w:val="left"/>
      <w:rPr>
        <w:rFonts w:hint="eastAsia" w:ascii="楷体" w:hAnsi="楷体" w:eastAsia="楷体" w:cs="楷体"/>
        <w:sz w:val="32"/>
        <w:szCs w:val="32"/>
      </w:rPr>
    </w:lvl>
  </w:abstractNum>
  <w:abstractNum w:abstractNumId="2">
    <w:nsid w:val="1113A4A2"/>
    <w:multiLevelType w:val="singleLevel"/>
    <w:tmpl w:val="1113A4A2"/>
    <w:lvl w:ilvl="0" w:tentative="0">
      <w:start w:val="1"/>
      <w:numFmt w:val="chineseCounting"/>
      <w:suff w:val="nothing"/>
      <w:lvlText w:val="（%1）"/>
      <w:lvlJc w:val="left"/>
      <w:rPr>
        <w:rFonts w:hint="eastAsia"/>
      </w:rPr>
    </w:lvl>
  </w:abstractNum>
  <w:abstractNum w:abstractNumId="3">
    <w:nsid w:val="169225C5"/>
    <w:multiLevelType w:val="singleLevel"/>
    <w:tmpl w:val="169225C5"/>
    <w:lvl w:ilvl="0" w:tentative="0">
      <w:start w:val="1"/>
      <w:numFmt w:val="chineseCounting"/>
      <w:suff w:val="nothing"/>
      <w:lvlText w:val="%1、"/>
      <w:lvlJc w:val="left"/>
      <w:rPr>
        <w:rFonts w:hint="eastAsia"/>
      </w:rPr>
    </w:lvl>
  </w:abstractNum>
  <w:abstractNum w:abstractNumId="4">
    <w:nsid w:val="5DDF8822"/>
    <w:multiLevelType w:val="singleLevel"/>
    <w:tmpl w:val="5DDF8822"/>
    <w:lvl w:ilvl="0" w:tentative="0">
      <w:start w:val="1"/>
      <w:numFmt w:val="decimal"/>
      <w:suff w:val="nothing"/>
      <w:lvlText w:val="%1、"/>
      <w:lvlJc w:val="left"/>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RhMjdlZjQ5YjRhZjNkYTU5MWJjNTdiM2YyYzk4OWIifQ=="/>
  </w:docVars>
  <w:rsids>
    <w:rsidRoot w:val="59886344"/>
    <w:rsid w:val="00056A86"/>
    <w:rsid w:val="003502E1"/>
    <w:rsid w:val="00520D1B"/>
    <w:rsid w:val="005B4F0F"/>
    <w:rsid w:val="00605D84"/>
    <w:rsid w:val="00814F24"/>
    <w:rsid w:val="00AA571F"/>
    <w:rsid w:val="00BE624E"/>
    <w:rsid w:val="00C045FF"/>
    <w:rsid w:val="00C21F02"/>
    <w:rsid w:val="00CD6017"/>
    <w:rsid w:val="00DA7522"/>
    <w:rsid w:val="00E3479E"/>
    <w:rsid w:val="00F94839"/>
    <w:rsid w:val="124C51EF"/>
    <w:rsid w:val="55CA39A4"/>
    <w:rsid w:val="57234B81"/>
    <w:rsid w:val="59886344"/>
    <w:rsid w:val="64811F80"/>
    <w:rsid w:val="7FCF7BF6"/>
    <w:rsid w:val="DFEF884A"/>
    <w:rsid w:val="F97F68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sz w:val="28"/>
      <w:szCs w:val="24"/>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Body Text"/>
    <w:basedOn w:val="1"/>
    <w:semiHidden/>
    <w:qFormat/>
    <w:uiPriority w:val="0"/>
    <w:rPr>
      <w:rFonts w:eastAsia="仿宋" w:cs="仿宋"/>
      <w:sz w:val="31"/>
      <w:szCs w:val="31"/>
      <w:lang w:eastAsia="en-US"/>
    </w:rPr>
  </w:style>
  <w:style w:type="paragraph" w:styleId="4">
    <w:name w:val="Balloon Text"/>
    <w:basedOn w:val="1"/>
    <w:link w:val="16"/>
    <w:qFormat/>
    <w:uiPriority w:val="0"/>
    <w:rPr>
      <w:sz w:val="18"/>
      <w:szCs w:val="18"/>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sz w:val="24"/>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paragraph" w:customStyle="1" w:styleId="12">
    <w:name w:val="样式2"/>
    <w:basedOn w:val="1"/>
    <w:autoRedefine/>
    <w:qFormat/>
    <w:uiPriority w:val="0"/>
    <w:pPr>
      <w:widowControl/>
      <w:shd w:val="clear" w:color="auto" w:fill="FFFFFF"/>
      <w:spacing w:before="100" w:beforeAutospacing="1" w:after="100" w:afterAutospacing="1"/>
      <w:ind w:left="562"/>
      <w:jc w:val="center"/>
    </w:pPr>
    <w:rPr>
      <w:rFonts w:ascii="宋体" w:hAnsi="宋体"/>
      <w:b/>
      <w:bCs/>
      <w:szCs w:val="21"/>
    </w:rPr>
  </w:style>
  <w:style w:type="character" w:customStyle="1" w:styleId="13">
    <w:name w:val="页眉 Char"/>
    <w:basedOn w:val="9"/>
    <w:link w:val="6"/>
    <w:qFormat/>
    <w:uiPriority w:val="0"/>
    <w:rPr>
      <w:rFonts w:ascii="仿宋" w:hAnsi="仿宋"/>
      <w:sz w:val="18"/>
      <w:szCs w:val="18"/>
    </w:rPr>
  </w:style>
  <w:style w:type="character" w:customStyle="1" w:styleId="14">
    <w:name w:val="页脚 Char"/>
    <w:basedOn w:val="9"/>
    <w:link w:val="5"/>
    <w:qFormat/>
    <w:uiPriority w:val="0"/>
    <w:rPr>
      <w:rFonts w:ascii="仿宋" w:hAnsi="仿宋"/>
      <w:sz w:val="18"/>
      <w:szCs w:val="18"/>
    </w:rPr>
  </w:style>
  <w:style w:type="character" w:customStyle="1" w:styleId="15">
    <w:name w:val="vxe-cell--label"/>
    <w:basedOn w:val="9"/>
    <w:qFormat/>
    <w:uiPriority w:val="0"/>
  </w:style>
  <w:style w:type="character" w:customStyle="1" w:styleId="16">
    <w:name w:val="批注框文本 Char"/>
    <w:basedOn w:val="9"/>
    <w:link w:val="4"/>
    <w:qFormat/>
    <w:uiPriority w:val="0"/>
    <w:rPr>
      <w:rFonts w:ascii="仿宋" w:hAnsi="仿宋"/>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4860</Words>
  <Characters>5200</Characters>
  <Lines>8</Lines>
  <Paragraphs>11</Paragraphs>
  <TotalTime>22</TotalTime>
  <ScaleCrop>false</ScaleCrop>
  <LinksUpToDate>false</LinksUpToDate>
  <CharactersWithSpaces>5408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2025-05-08T08:38:00Z</dcterms:created>
  <dc:creator>Administrator</dc:creator>
  <cp:lastModifiedBy>Administrator</cp:lastModifiedBy>
  <dcterms:modified xsi:type="dcterms:W3CDTF">2025-05-01T11:35:26Z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6D7498B9AF5B4DAB9DBFA20D9DAD6B5B_13</vt:lpwstr>
  </property>
</Properties>
</file>