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32"/>
          <w:szCs w:val="32"/>
        </w:rPr>
      </w:pPr>
      <w:r>
        <w:rPr>
          <w:rFonts w:ascii="方正小标宋简体" w:hAnsi="方正小标宋简体" w:eastAsia="方正小标宋简体" w:cs="方正小标宋简体"/>
          <w:sz w:val="44"/>
          <w:szCs w:val="44"/>
        </w:rPr>
        <w:object>
          <v:shape id="_x0000_i1025" o:spt="75" type="#_x0000_t75" style="height:742.5pt;width:471.75pt;" o:ole="t" filled="f" o:preferrelative="t" stroked="f" coordsize="21600,21600">
            <v:path/>
            <v:fill on="f" focussize="0,0"/>
            <v:stroke on="f" joinstyle="miter"/>
            <v:imagedata r:id="rId6" o:title=""/>
            <o:lock v:ext="edit" aspectratio="t"/>
            <w10:wrap type="none"/>
            <w10:anchorlock/>
          </v:shape>
          <o:OLEObject Type="Embed" ProgID="AcroExch.Document.7" ShapeID="_x0000_i1025" DrawAspect="Content" ObjectID="_1468075725" r:id="rId5">
            <o:LockedField>false</o:LockedField>
          </o:OLEObject>
        </w:object>
      </w:r>
    </w:p>
    <w:p>
      <w:pPr>
        <w:spacing w:line="56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2024年度岳阳市君山区妇女联合会整体支出绩效自评报告</w:t>
      </w:r>
    </w:p>
    <w:p>
      <w:pPr>
        <w:spacing w:line="560" w:lineRule="exact"/>
        <w:ind w:firstLine="640" w:firstLineChars="200"/>
        <w:rPr>
          <w:rFonts w:ascii="Times New Roman" w:hAnsi="Times New Roman" w:eastAsia="仿宋_GB2312"/>
          <w:sz w:val="32"/>
          <w:szCs w:val="32"/>
        </w:rPr>
      </w:pPr>
    </w:p>
    <w:p>
      <w:pPr>
        <w:spacing w:line="560" w:lineRule="exact"/>
        <w:ind w:left="560" w:leftChars="200" w:firstLine="320" w:firstLineChars="100"/>
        <w:rPr>
          <w:rFonts w:ascii="Times New Roman" w:hAnsi="Times New Roman" w:eastAsia="黑体"/>
          <w:sz w:val="32"/>
          <w:szCs w:val="32"/>
        </w:rPr>
      </w:pPr>
      <w:r>
        <w:rPr>
          <w:rFonts w:ascii="Times New Roman" w:hAnsi="Times New Roman" w:eastAsia="黑体"/>
          <w:sz w:val="32"/>
          <w:szCs w:val="32"/>
        </w:rPr>
        <w:t>部门（单位）基本情况</w:t>
      </w:r>
    </w:p>
    <w:p>
      <w:pPr>
        <w:spacing w:line="57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岳阳市君山区妇女联合会是在区委和市妇联领导下的各界妇女的群众组织，基本职能是：代表和维护全区妇女权益，促进男女平等。</w:t>
      </w:r>
    </w:p>
    <w:p>
      <w:pPr>
        <w:widowControl/>
        <w:spacing w:line="560" w:lineRule="exact"/>
        <w:ind w:firstLine="640" w:firstLineChars="200"/>
        <w:rPr>
          <w:rFonts w:ascii="仿宋_GB2312" w:hAnsi="仿宋_GB2312" w:eastAsia="仿宋_GB2312" w:cs="仿宋_GB2312"/>
          <w:kern w:val="2"/>
          <w:sz w:val="32"/>
          <w:szCs w:val="32"/>
        </w:rPr>
      </w:pPr>
      <w:r>
        <w:rPr>
          <w:rFonts w:hint="eastAsia" w:ascii="楷体" w:hAnsi="楷体" w:eastAsia="楷体" w:cs="楷体"/>
          <w:sz w:val="32"/>
          <w:szCs w:val="32"/>
        </w:rPr>
        <w:t>（二）机构设置与人员情况</w:t>
      </w:r>
    </w:p>
    <w:p>
      <w:pPr>
        <w:spacing w:line="570" w:lineRule="atLeast"/>
        <w:ind w:firstLine="640" w:firstLineChars="200"/>
        <w:rPr>
          <w:rFonts w:ascii="仿宋_GB2312" w:hAnsi="仿宋_GB2312" w:eastAsia="仿宋_GB2312" w:cs="仿宋_GB2312"/>
          <w:kern w:val="2"/>
          <w:sz w:val="32"/>
          <w:szCs w:val="32"/>
        </w:rPr>
      </w:pPr>
      <w:r>
        <w:rPr>
          <w:rFonts w:hint="eastAsia" w:ascii="Times New Roman" w:hAnsi="Times New Roman" w:eastAsia="仿宋_GB2312"/>
          <w:sz w:val="32"/>
          <w:szCs w:val="32"/>
        </w:rPr>
        <w:t>岳阳市君山区妇女联合会内设2个职能股室：办公室、权益和少儿部；核定区妇联全额拨款事业编制3名，在编在岗3人。</w:t>
      </w:r>
      <w:r>
        <w:rPr>
          <w:rFonts w:hint="eastAsia" w:ascii="仿宋_GB2312" w:hAnsi="仿宋_GB2312" w:eastAsia="仿宋_GB2312" w:cs="仿宋_GB2312"/>
          <w:kern w:val="2"/>
          <w:sz w:val="32"/>
          <w:szCs w:val="32"/>
        </w:rPr>
        <w:t>　</w:t>
      </w:r>
    </w:p>
    <w:p>
      <w:pPr>
        <w:pStyle w:val="6"/>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（三）单位绩效目标</w:t>
      </w:r>
    </w:p>
    <w:p>
      <w:pPr>
        <w:pStyle w:val="6"/>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整体支出绩效目标：</w:t>
      </w:r>
      <w:r>
        <w:rPr>
          <w:rFonts w:hint="eastAsia" w:ascii="仿宋_GB2312" w:hAnsi="仿宋_GB2312" w:eastAsia="仿宋_GB2312" w:cs="仿宋_GB2312"/>
          <w:sz w:val="32"/>
          <w:szCs w:val="32"/>
        </w:rPr>
        <w:t>充分发挥妇联组织在服务基层治理、推动乡村振兴方面的积极作用</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持续关爱困境妇女儿童</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扎实开展工作，用心打造区级“和姐”婚调品牌</w:t>
      </w:r>
      <w:r>
        <w:rPr>
          <w:rFonts w:ascii="仿宋_GB2312" w:hAnsi="仿宋_GB2312" w:eastAsia="仿宋_GB2312" w:cs="仿宋_GB2312"/>
          <w:sz w:val="32"/>
          <w:szCs w:val="32"/>
        </w:rPr>
        <w:t>，将家庭纠纷调解前置</w:t>
      </w:r>
      <w:r>
        <w:rPr>
          <w:rFonts w:hint="eastAsia" w:ascii="仿宋_GB2312" w:hAnsi="仿宋_GB2312" w:eastAsia="仿宋_GB2312" w:cs="仿宋_GB2312"/>
          <w:kern w:val="2"/>
          <w:sz w:val="32"/>
          <w:szCs w:val="32"/>
        </w:rPr>
        <w:t>。</w:t>
      </w:r>
    </w:p>
    <w:p>
      <w:pPr>
        <w:pStyle w:val="6"/>
        <w:widowControl/>
        <w:spacing w:before="0" w:beforeAutospacing="0" w:after="0" w:afterAutospacing="0" w:line="560" w:lineRule="exact"/>
        <w:ind w:left="638" w:leftChars="228"/>
        <w:jc w:val="both"/>
        <w:rPr>
          <w:rFonts w:ascii="Times New Roman" w:hAnsi="Times New Roman" w:eastAsia="黑体"/>
          <w:sz w:val="32"/>
          <w:szCs w:val="32"/>
        </w:rPr>
      </w:pPr>
      <w:r>
        <w:rPr>
          <w:rFonts w:hint="eastAsia" w:ascii="仿宋_GB2312" w:hAnsi="仿宋_GB2312" w:eastAsia="仿宋_GB2312" w:cs="仿宋_GB2312"/>
          <w:kern w:val="2"/>
          <w:sz w:val="32"/>
          <w:szCs w:val="32"/>
        </w:rPr>
        <w:t xml:space="preserve">项目支出绩效目标：2024年度本单位无项目支出。             </w:t>
      </w:r>
      <w:r>
        <w:rPr>
          <w:rFonts w:hint="eastAsia" w:ascii="仿宋_GB2312" w:hAnsi="仿宋_GB2312" w:eastAsia="仿宋_GB2312" w:cs="仿宋_GB2312"/>
          <w:color w:val="0000FF"/>
          <w:kern w:val="2"/>
          <w:sz w:val="32"/>
          <w:szCs w:val="32"/>
        </w:rPr>
        <w:t xml:space="preserve">        </w:t>
      </w:r>
      <w:r>
        <w:rPr>
          <w:rFonts w:hint="eastAsia" w:ascii="仿宋_GB2312" w:hAnsi="仿宋_GB2312" w:eastAsia="仿宋_GB2312" w:cs="仿宋_GB2312"/>
          <w:kern w:val="2"/>
          <w:sz w:val="32"/>
          <w:szCs w:val="32"/>
        </w:rPr>
        <w:t xml:space="preserve">                                                                                             一</w:t>
      </w:r>
      <w:r>
        <w:rPr>
          <w:rFonts w:ascii="Times New Roman" w:hAnsi="Times New Roman" w:eastAsia="黑体"/>
          <w:sz w:val="32"/>
          <w:szCs w:val="32"/>
        </w:rPr>
        <w:t>般公共预算支出情况</w:t>
      </w:r>
    </w:p>
    <w:p>
      <w:pPr>
        <w:pStyle w:val="9"/>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2024年本部门预算资金85.55万元（基本支出85.55万元，项目支出0万元），全年实际支出79.87万元，其中基本支出79.87万元，项目支出0万元，预算执行率93.36%。　　　　　　</w:t>
      </w:r>
    </w:p>
    <w:p>
      <w:pPr>
        <w:pStyle w:val="9"/>
        <w:widowControl/>
        <w:spacing w:line="560" w:lineRule="exac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（一）基本支出情况</w:t>
      </w:r>
    </w:p>
    <w:p>
      <w:pPr>
        <w:pStyle w:val="9"/>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本单位2024年度基本支出79.87万元，其中人员经费43.28万元，公用经费35.59万元。</w:t>
      </w:r>
    </w:p>
    <w:p>
      <w:pPr>
        <w:pStyle w:val="9"/>
        <w:widowControl/>
        <w:spacing w:line="560" w:lineRule="exact"/>
        <w:ind w:firstLine="640"/>
        <w:rPr>
          <w:rFonts w:eastAsia="仿宋_GB2312" w:cs="仿宋_GB2312"/>
          <w:sz w:val="32"/>
          <w:szCs w:val="32"/>
        </w:rPr>
      </w:pPr>
      <w:r>
        <w:rPr>
          <w:rFonts w:hint="eastAsia" w:ascii="仿宋_GB2312" w:hAnsi="仿宋_GB2312" w:eastAsia="仿宋_GB2312" w:cs="仿宋_GB2312"/>
          <w:kern w:val="2"/>
          <w:sz w:val="32"/>
          <w:szCs w:val="32"/>
        </w:rPr>
        <w:t>基本支出主要</w:t>
      </w:r>
      <w:r>
        <w:rPr>
          <w:rFonts w:hint="eastAsia" w:eastAsia="仿宋_GB2312" w:cs="仿宋_GB2312"/>
          <w:sz w:val="32"/>
          <w:szCs w:val="32"/>
        </w:rPr>
        <w:t>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9"/>
        <w:widowControl/>
        <w:numPr>
          <w:ilvl w:val="0"/>
          <w:numId w:val="1"/>
        </w:numPr>
        <w:spacing w:line="560" w:lineRule="exact"/>
        <w:ind w:firstLine="640"/>
        <w:rPr>
          <w:rFonts w:ascii="楷体" w:hAnsi="楷体" w:eastAsia="楷体" w:cs="楷体"/>
          <w:bCs/>
          <w:sz w:val="32"/>
          <w:szCs w:val="32"/>
        </w:rPr>
      </w:pPr>
      <w:r>
        <w:rPr>
          <w:rFonts w:hint="eastAsia" w:ascii="楷体" w:hAnsi="楷体" w:eastAsia="楷体" w:cs="楷体"/>
          <w:bCs/>
          <w:sz w:val="32"/>
          <w:szCs w:val="32"/>
        </w:rPr>
        <w:t>项目支出情况</w:t>
      </w:r>
    </w:p>
    <w:p>
      <w:pPr>
        <w:pStyle w:val="9"/>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本单位2024年度项目支出全年</w:t>
      </w:r>
      <w:r>
        <w:rPr>
          <w:rFonts w:hint="eastAsia" w:eastAsia="仿宋_GB2312" w:cs="仿宋_GB2312"/>
          <w:sz w:val="32"/>
          <w:szCs w:val="32"/>
        </w:rPr>
        <w:t>预算0万</w:t>
      </w:r>
      <w:r>
        <w:rPr>
          <w:rFonts w:hint="eastAsia" w:ascii="仿宋_GB2312" w:hAnsi="仿宋_GB2312" w:eastAsia="仿宋_GB2312" w:cs="仿宋_GB2312"/>
          <w:kern w:val="2"/>
          <w:sz w:val="32"/>
          <w:szCs w:val="32"/>
        </w:rPr>
        <w:t>元</w:t>
      </w:r>
    </w:p>
    <w:p>
      <w:pPr>
        <w:pStyle w:val="9"/>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9"/>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2024年本单位无此项支出。</w:t>
      </w:r>
    </w:p>
    <w:p>
      <w:pPr>
        <w:pStyle w:val="9"/>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p>
    <w:p>
      <w:pPr>
        <w:pStyle w:val="9"/>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2024年本单位无此项支出。</w:t>
      </w:r>
    </w:p>
    <w:p>
      <w:pPr>
        <w:pStyle w:val="9"/>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p>
    <w:p>
      <w:pPr>
        <w:pStyle w:val="9"/>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2024年本单位无此项支出。</w:t>
      </w:r>
    </w:p>
    <w:p>
      <w:pPr>
        <w:pStyle w:val="9"/>
        <w:widowControl/>
        <w:spacing w:line="56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pPr>
        <w:pStyle w:val="9"/>
        <w:widowControl/>
        <w:spacing w:line="560" w:lineRule="exact"/>
        <w:ind w:firstLine="0" w:firstLineChars="0"/>
        <w:rPr>
          <w:rFonts w:ascii="仿宋_GB2312" w:hAnsi="仿宋_GB2312" w:eastAsia="仿宋_GB2312" w:cs="仿宋_GB2312"/>
          <w:kern w:val="2"/>
          <w:sz w:val="32"/>
          <w:szCs w:val="32"/>
        </w:rPr>
      </w:pPr>
      <w:r>
        <w:rPr>
          <w:rFonts w:hint="eastAsia" w:ascii="Times New Roman" w:hAnsi="Times New Roman" w:eastAsia="黑体"/>
          <w:sz w:val="32"/>
          <w:szCs w:val="32"/>
        </w:rPr>
        <w:t>　　</w:t>
      </w:r>
      <w:r>
        <w:rPr>
          <w:rFonts w:ascii="仿宋_GB2312" w:hAnsi="仿宋_GB2312" w:eastAsia="仿宋_GB2312" w:cs="仿宋_GB2312"/>
          <w:kern w:val="2"/>
          <w:sz w:val="32"/>
          <w:szCs w:val="32"/>
        </w:rPr>
        <w:t>2024年，</w:t>
      </w:r>
      <w:r>
        <w:rPr>
          <w:rFonts w:hint="eastAsia" w:ascii="仿宋_GB2312" w:hAnsi="仿宋_GB2312" w:eastAsia="仿宋_GB2312" w:cs="仿宋_GB2312"/>
          <w:kern w:val="2"/>
          <w:sz w:val="32"/>
          <w:szCs w:val="32"/>
        </w:rPr>
        <w:t>本单位</w:t>
      </w:r>
      <w:r>
        <w:rPr>
          <w:rFonts w:ascii="仿宋_GB2312" w:hAnsi="仿宋_GB2312" w:eastAsia="仿宋_GB2312" w:cs="仿宋_GB2312"/>
          <w:kern w:val="2"/>
          <w:sz w:val="32"/>
          <w:szCs w:val="32"/>
        </w:rPr>
        <w:t>积极履职，资金管理规范，</w:t>
      </w:r>
      <w:r>
        <w:rPr>
          <w:rFonts w:hint="eastAsia" w:ascii="仿宋_GB2312" w:hAnsi="仿宋_GB2312" w:eastAsia="仿宋_GB2312" w:cs="仿宋_GB2312"/>
          <w:kern w:val="2"/>
          <w:sz w:val="32"/>
          <w:szCs w:val="32"/>
        </w:rPr>
        <w:t>资产</w:t>
      </w:r>
      <w:r>
        <w:rPr>
          <w:rFonts w:ascii="仿宋_GB2312" w:hAnsi="仿宋_GB2312" w:eastAsia="仿宋_GB2312" w:cs="仿宋_GB2312"/>
          <w:kern w:val="2"/>
          <w:sz w:val="32"/>
          <w:szCs w:val="32"/>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严格执行上级的各项制度;在</w:t>
      </w:r>
      <w:r>
        <w:rPr>
          <w:rFonts w:hint="eastAsia" w:ascii="仿宋_GB2312" w:hAnsi="仿宋_GB2312" w:eastAsia="仿宋_GB2312" w:cs="仿宋_GB2312"/>
          <w:kern w:val="2"/>
          <w:sz w:val="32"/>
          <w:szCs w:val="32"/>
        </w:rPr>
        <w:t>公用</w:t>
      </w:r>
      <w:r>
        <w:rPr>
          <w:rFonts w:ascii="仿宋_GB2312" w:hAnsi="仿宋_GB2312" w:eastAsia="仿宋_GB2312" w:cs="仿宋_GB2312"/>
          <w:kern w:val="2"/>
          <w:sz w:val="32"/>
          <w:szCs w:val="32"/>
        </w:rPr>
        <w:t>经费使用上，</w:t>
      </w:r>
      <w:r>
        <w:rPr>
          <w:rFonts w:hint="eastAsia" w:ascii="仿宋_GB2312" w:hAnsi="仿宋_GB2312" w:eastAsia="仿宋_GB2312" w:cs="仿宋_GB2312"/>
          <w:kern w:val="2"/>
          <w:sz w:val="32"/>
          <w:szCs w:val="32"/>
        </w:rPr>
        <w:t>严格执行预算</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在</w:t>
      </w:r>
      <w:r>
        <w:rPr>
          <w:rFonts w:ascii="仿宋_GB2312" w:hAnsi="仿宋_GB2312" w:eastAsia="仿宋_GB2312" w:cs="仿宋_GB2312"/>
          <w:kern w:val="2"/>
          <w:sz w:val="32"/>
          <w:szCs w:val="32"/>
        </w:rPr>
        <w:t>“三公”经费</w:t>
      </w:r>
      <w:r>
        <w:rPr>
          <w:rFonts w:hint="eastAsia" w:ascii="仿宋_GB2312" w:hAnsi="仿宋_GB2312" w:eastAsia="仿宋_GB2312" w:cs="仿宋_GB2312"/>
          <w:kern w:val="2"/>
          <w:sz w:val="32"/>
          <w:szCs w:val="32"/>
        </w:rPr>
        <w:t>开支上，</w:t>
      </w:r>
      <w:r>
        <w:rPr>
          <w:rFonts w:ascii="仿宋_GB2312" w:hAnsi="仿宋_GB2312" w:eastAsia="仿宋_GB2312" w:cs="仿宋_GB2312"/>
          <w:kern w:val="2"/>
          <w:sz w:val="32"/>
          <w:szCs w:val="32"/>
        </w:rPr>
        <w:t xml:space="preserve">厉行节约，从严控制。根据《部门整体支出绩效自评表》自评得分 </w:t>
      </w:r>
      <w:r>
        <w:rPr>
          <w:rFonts w:hint="eastAsia" w:ascii="仿宋_GB2312" w:hAnsi="仿宋_GB2312" w:eastAsia="仿宋_GB2312" w:cs="仿宋_GB2312"/>
          <w:kern w:val="2"/>
          <w:sz w:val="32"/>
          <w:szCs w:val="32"/>
        </w:rPr>
        <w:t>97.34</w:t>
      </w:r>
      <w:r>
        <w:rPr>
          <w:rFonts w:ascii="仿宋_GB2312" w:hAnsi="仿宋_GB2312" w:eastAsia="仿宋_GB2312" w:cs="仿宋_GB2312"/>
          <w:kern w:val="2"/>
          <w:sz w:val="32"/>
          <w:szCs w:val="32"/>
        </w:rPr>
        <w:t>分(详见附表2)，部门整体支出绩效为“优”</w:t>
      </w:r>
    </w:p>
    <w:p>
      <w:pPr>
        <w:widowControl/>
        <w:numPr>
          <w:ilvl w:val="0"/>
          <w:numId w:val="2"/>
        </w:num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预算财务管理方面</w:t>
      </w:r>
    </w:p>
    <w:p>
      <w:pPr>
        <w:pStyle w:val="3"/>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1.严格执行预算管理制度，切实降低运行成本。2024年，</w:t>
      </w:r>
      <w:r>
        <w:rPr>
          <w:rFonts w:hint="eastAsia" w:ascii="Times New Roman" w:hAnsi="Times New Roman" w:eastAsia="仿宋_GB2312"/>
          <w:color w:val="000000"/>
          <w:sz w:val="32"/>
          <w:szCs w:val="32"/>
        </w:rPr>
        <w:t>我社严格预算管理，科学安排支出，实时把握支出进度，不断提高资金使用效益，将过“紧日子”贯穿全年，建立健全了收入、支出、政府采购、资产管理以及公务接待、差旅费等财务管理制度，对公务用车、公务租车、公务出差、公务接待、会议费等实行事前审批制度，严格控制各项支出，有效杜绝了资金浪费情况，确保了资金使用的规范性、安全性和有效性，预算执行率达到100%，切实降低运行成本，发挥了财政资金的最大效益。</w:t>
      </w:r>
    </w:p>
    <w:p>
      <w:pPr>
        <w:pStyle w:val="3"/>
        <w:spacing w:line="56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2.加强资产管理，确保资产保值增值。根据政府采购和资产管理要求，建立了资产实物管理台账，根据各股室的需求制订了采购计划，按国有资产配置、政府采购和有关规定按程序在电子卖场进行采购活动。</w:t>
      </w:r>
    </w:p>
    <w:p>
      <w:pPr>
        <w:pStyle w:val="3"/>
        <w:spacing w:line="560" w:lineRule="exact"/>
        <w:ind w:firstLine="640"/>
        <w:rPr>
          <w:rFonts w:ascii="仿宋_GB2312" w:hAnsi="仿宋_GB2312" w:eastAsia="仿宋_GB2312" w:cs="仿宋_GB2312"/>
          <w:kern w:val="44"/>
          <w:sz w:val="32"/>
          <w:szCs w:val="32"/>
        </w:rPr>
      </w:pPr>
      <w:r>
        <w:rPr>
          <w:rFonts w:hint="eastAsia" w:ascii="Times New Roman" w:hAnsi="Times New Roman" w:eastAsia="仿宋_GB2312"/>
          <w:color w:val="000000"/>
          <w:sz w:val="32"/>
          <w:szCs w:val="32"/>
        </w:rPr>
        <w:t>（二）</w:t>
      </w:r>
      <w:r>
        <w:rPr>
          <w:rFonts w:hint="eastAsia" w:ascii="仿宋_GB2312" w:hAnsi="仿宋_GB2312" w:eastAsia="仿宋_GB2312" w:cs="仿宋_GB2312"/>
          <w:kern w:val="44"/>
          <w:sz w:val="32"/>
          <w:szCs w:val="32"/>
        </w:rPr>
        <w:t>履职产出效益方面</w:t>
      </w:r>
    </w:p>
    <w:p>
      <w:pPr>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（一）突出思想引领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区妇联以习近平新时代中国特色社会主义思想为指导，</w:t>
      </w:r>
      <w:r>
        <w:rPr>
          <w:rFonts w:hint="eastAsia" w:ascii="仿宋_GB2312" w:hAnsi="仿宋_GB2312" w:eastAsia="仿宋_GB2312" w:cs="仿宋_GB2312"/>
          <w:bCs/>
          <w:color w:val="000000"/>
          <w:sz w:val="32"/>
          <w:szCs w:val="32"/>
        </w:rPr>
        <w:t>依托各级妇</w:t>
      </w:r>
      <w:r>
        <w:rPr>
          <w:rFonts w:hint="eastAsia" w:ascii="仿宋_GB2312" w:hAnsi="仿宋_GB2312" w:eastAsia="仿宋_GB2312" w:cs="仿宋_GB2312"/>
          <w:color w:val="000000"/>
          <w:sz w:val="32"/>
          <w:szCs w:val="32"/>
        </w:rPr>
        <w:t>联组织宣传阵地，以群众喜闻乐见的方式，通过线上线下</w:t>
      </w:r>
      <w:r>
        <w:rPr>
          <w:rFonts w:hint="eastAsia" w:ascii="仿宋_GB2312" w:hAnsi="仿宋_GB2312" w:eastAsia="仿宋_GB2312" w:cs="仿宋_GB2312"/>
          <w:bCs/>
          <w:color w:val="000000"/>
          <w:sz w:val="32"/>
          <w:szCs w:val="32"/>
        </w:rPr>
        <w:t>教育引导广大妇女深入学习宣传</w:t>
      </w:r>
      <w:r>
        <w:rPr>
          <w:rFonts w:hint="eastAsia" w:ascii="仿宋_GB2312" w:hAnsi="仿宋_GB2312" w:eastAsia="仿宋_GB2312" w:cs="仿宋_GB2312"/>
          <w:sz w:val="32"/>
          <w:szCs w:val="32"/>
        </w:rPr>
        <w:t>党的二十大和党的二十届三中全会精神、中国妇女十三大精神，深入学习领会习近平总书记关于妇女和妇女工作的重要论述，着力突出巾帼心向党。</w:t>
      </w:r>
      <w:r>
        <w:rPr>
          <w:rFonts w:hint="eastAsia" w:ascii="仿宋_GB2312" w:hAnsi="仿宋_GB2312" w:eastAsia="仿宋_GB2312" w:cs="仿宋_GB2312"/>
          <w:color w:val="000000"/>
          <w:kern w:val="2"/>
          <w:sz w:val="32"/>
          <w:szCs w:val="32"/>
          <w:shd w:val="clear" w:color="auto" w:fill="FFFFFF"/>
        </w:rPr>
        <w:t>组织基层妇联组织通过</w:t>
      </w:r>
      <w:r>
        <w:rPr>
          <w:rFonts w:hint="eastAsia" w:ascii="仿宋_GB2312" w:hAnsi="仿宋_GB2312" w:eastAsia="仿宋_GB2312" w:cs="仿宋_GB2312"/>
          <w:bCs/>
          <w:color w:val="000000"/>
          <w:sz w:val="32"/>
          <w:szCs w:val="32"/>
        </w:rPr>
        <w:t>开展读书会、座谈分享会、党的二十大</w:t>
      </w:r>
      <w:r>
        <w:rPr>
          <w:rFonts w:hint="eastAsia" w:ascii="仿宋_GB2312" w:hAnsi="仿宋_GB2312" w:eastAsia="仿宋_GB2312" w:cs="仿宋_GB2312"/>
          <w:sz w:val="32"/>
          <w:szCs w:val="32"/>
        </w:rPr>
        <w:t>专题集中宣讲等活动，</w:t>
      </w:r>
      <w:r>
        <w:rPr>
          <w:rFonts w:hint="eastAsia" w:ascii="仿宋_GB2312" w:hAnsi="仿宋_GB2312" w:eastAsia="仿宋_GB2312" w:cs="仿宋_GB2312"/>
          <w:bCs/>
          <w:color w:val="000000"/>
          <w:sz w:val="32"/>
          <w:szCs w:val="32"/>
        </w:rPr>
        <w:t>引导广大妇女和家庭感党恩、听党话、跟党走，在全区形成唱响主旋律、传递正能量、提振精气神的浓厚氛围。</w:t>
      </w:r>
    </w:p>
    <w:p>
      <w:pPr>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（二）突出干事创业</w:t>
      </w:r>
    </w:p>
    <w:p>
      <w:pPr>
        <w:spacing w:line="560" w:lineRule="exact"/>
        <w:ind w:firstLine="642" w:firstLineChars="200"/>
        <w:rPr>
          <w:rFonts w:hint="eastAsia" w:ascii="仿宋_GB2312" w:hAnsi="仿宋_GB2312" w:eastAsia="仿宋_GB2312" w:cs="仿宋_GB2312"/>
          <w:sz w:val="32"/>
          <w:szCs w:val="32"/>
        </w:rPr>
      </w:pPr>
      <w:r>
        <w:rPr>
          <w:rFonts w:hint="eastAsia" w:eastAsia="仿宋" w:cs="仿宋"/>
          <w:b/>
          <w:bCs/>
          <w:sz w:val="32"/>
          <w:szCs w:val="32"/>
        </w:rPr>
        <w:t>1、深入开展“乡村振兴巾帼行动”。</w:t>
      </w:r>
      <w:r>
        <w:rPr>
          <w:rFonts w:hint="eastAsia" w:ascii="仿宋_GB2312" w:hAnsi="仿宋_GB2312" w:eastAsia="仿宋_GB2312" w:cs="仿宋_GB2312"/>
          <w:sz w:val="32"/>
          <w:szCs w:val="32"/>
        </w:rPr>
        <w:t>区妇联联合多单位开展“春风送岗”招聘活动，助力女性高质量就业；加大农村女性就业指导培训力度，开展2次全区养老护理师、育婴师培训；推荐7人参加市级一村一主播培训；</w:t>
      </w:r>
      <w:r>
        <w:rPr>
          <w:rFonts w:hint="eastAsia" w:ascii="仿宋_GB2312" w:hAnsi="仿宋_GB2312" w:eastAsia="仿宋_GB2312" w:cs="仿宋_GB2312"/>
          <w:kern w:val="2"/>
          <w:sz w:val="32"/>
          <w:szCs w:val="32"/>
        </w:rPr>
        <w:t>推荐评选省级巾帼文明岗1个，</w:t>
      </w:r>
      <w:r>
        <w:rPr>
          <w:rFonts w:hint="eastAsia" w:ascii="仿宋_GB2312" w:hAnsi="仿宋_GB2312" w:eastAsia="仿宋_GB2312" w:cs="仿宋_GB2312"/>
          <w:sz w:val="32"/>
          <w:szCs w:val="32"/>
        </w:rPr>
        <w:t>市级巾帼英才1名。充分发挥妇联组织在服务基层治理、推动乡村振兴方面的积极作用。</w:t>
      </w:r>
    </w:p>
    <w:p>
      <w:pPr>
        <w:spacing w:line="560" w:lineRule="exact"/>
        <w:ind w:firstLine="642" w:firstLineChars="200"/>
        <w:rPr>
          <w:rFonts w:hint="eastAsia" w:ascii="仿宋_GB2312" w:hAnsi="仿宋_GB2312" w:eastAsia="仿宋_GB2312" w:cs="仿宋_GB2312"/>
          <w:kern w:val="2"/>
          <w:sz w:val="32"/>
          <w:szCs w:val="32"/>
        </w:rPr>
      </w:pPr>
      <w:r>
        <w:rPr>
          <w:rFonts w:hint="eastAsia" w:eastAsia="仿宋" w:cs="仿宋"/>
          <w:b/>
          <w:bCs/>
          <w:sz w:val="32"/>
          <w:szCs w:val="32"/>
        </w:rPr>
        <w:t>2、常态化选树先进典型。</w:t>
      </w:r>
      <w:r>
        <w:rPr>
          <w:rFonts w:hint="eastAsia" w:ascii="仿宋_GB2312" w:hAnsi="仿宋_GB2312" w:eastAsia="仿宋_GB2312" w:cs="仿宋_GB2312"/>
          <w:kern w:val="2"/>
          <w:sz w:val="32"/>
          <w:szCs w:val="32"/>
        </w:rPr>
        <w:t>推荐评选市最美特色家庭3户，市三八红旗手2人，市三八红旗集体1个，市级巾帼建功先进集体1个，市级巾帼文明岗1个；评选表彰10个区级三八红旗手（集体）以及16个最美系列家庭。在各乡镇</w:t>
      </w:r>
      <w:r>
        <w:rPr>
          <w:rFonts w:hint="eastAsia" w:ascii="仿宋_GB2312" w:hAnsi="方正仿宋_GB2312" w:eastAsia="仿宋_GB2312" w:cs="方正仿宋_GB2312"/>
          <w:color w:val="000000"/>
          <w:sz w:val="32"/>
          <w:szCs w:val="32"/>
        </w:rPr>
        <w:t>开展家风家教知识竞赛答题活动</w:t>
      </w:r>
      <w:r>
        <w:rPr>
          <w:rFonts w:hint="eastAsia" w:ascii="仿宋_GB2312" w:hAnsi="仿宋_GB2312" w:eastAsia="仿宋_GB2312" w:cs="仿宋_GB2312"/>
          <w:kern w:val="2"/>
          <w:sz w:val="32"/>
          <w:szCs w:val="32"/>
        </w:rPr>
        <w:t>，让“最美家庭”等先锋队伍发光发热。</w:t>
      </w:r>
    </w:p>
    <w:p>
      <w:pPr>
        <w:spacing w:line="560" w:lineRule="exact"/>
        <w:ind w:firstLine="642" w:firstLineChars="200"/>
        <w:rPr>
          <w:rFonts w:hint="eastAsia" w:ascii="仿宋_GB2312" w:hAnsi="方正仿宋_GB2312" w:eastAsia="仿宋_GB2312" w:cs="方正仿宋_GB2312"/>
          <w:color w:val="000000"/>
          <w:sz w:val="32"/>
          <w:szCs w:val="32"/>
        </w:rPr>
      </w:pPr>
      <w:r>
        <w:rPr>
          <w:rFonts w:hint="eastAsia" w:eastAsia="仿宋" w:cs="仿宋"/>
          <w:b/>
          <w:bCs/>
          <w:sz w:val="32"/>
          <w:szCs w:val="32"/>
        </w:rPr>
        <w:t>3、强化家教家风建设。</w:t>
      </w:r>
      <w:r>
        <w:rPr>
          <w:rFonts w:hint="eastAsia" w:ascii="仿宋_GB2312" w:hAnsi="仿宋_GB2312" w:eastAsia="仿宋_GB2312" w:cs="仿宋_GB2312"/>
          <w:kern w:val="2"/>
          <w:sz w:val="32"/>
          <w:szCs w:val="32"/>
        </w:rPr>
        <w:t>认真贯彻落实习近平总书记关于家庭家教家风建设的重要论述，联合区纪委举办</w:t>
      </w:r>
      <w:r>
        <w:rPr>
          <w:rFonts w:hint="eastAsia" w:ascii="仿宋_GB2312" w:hAnsi="方正仿宋_GB2312" w:eastAsia="仿宋_GB2312" w:cs="方正仿宋_GB2312"/>
          <w:color w:val="000000"/>
          <w:sz w:val="32"/>
          <w:szCs w:val="32"/>
        </w:rPr>
        <w:t>“好家风好传承”活动，邀请全区党政“一把手”领导配偶，教育引导领导干部家属当好廉内助，筑牢家庭防火墙。</w:t>
      </w:r>
    </w:p>
    <w:p>
      <w:pPr>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（三）突出组织关爱</w:t>
      </w:r>
    </w:p>
    <w:p>
      <w:pPr>
        <w:spacing w:line="560" w:lineRule="exact"/>
        <w:ind w:firstLine="642" w:firstLineChars="200"/>
        <w:rPr>
          <w:rFonts w:ascii="仿宋_GB2312" w:hAnsi="仿宋_GB2312" w:eastAsia="仿宋_GB2312" w:cs="仿宋_GB2312"/>
          <w:sz w:val="32"/>
          <w:szCs w:val="32"/>
        </w:rPr>
      </w:pPr>
      <w:r>
        <w:rPr>
          <w:rFonts w:hint="eastAsia" w:eastAsia="仿宋" w:cs="仿宋"/>
          <w:b/>
          <w:bCs/>
          <w:sz w:val="32"/>
          <w:szCs w:val="32"/>
        </w:rPr>
        <w:t>1、持续深化“我为群众办实事”主题活动。</w:t>
      </w:r>
      <w:r>
        <w:rPr>
          <w:rFonts w:hint="eastAsia" w:ascii="仿宋_GB2312" w:hAnsi="仿宋_GB2312" w:eastAsia="仿宋_GB2312" w:cs="仿宋_GB2312"/>
          <w:sz w:val="32"/>
          <w:szCs w:val="32"/>
        </w:rPr>
        <w:t>持续推进省级民生实事项目家庭教育指导服务“向阳花行动”，组建君山家庭教育讲师团，全年共完成线下课程21场，惠及线上线下超10000名家长，超额完成任务；认真开展农村及城镇低保妇女“两癌”免费筛查省市区重点民生实事，全区共完成5000人免费两癌检查指标；实施2024年中央专项彩票公益金支持低收入妇女“两癌”救助项目，为3名低收入“两癌”妇女争取中央公益彩票基金3万元；承办我区2024年“金秋助学·梦想起航”捐资助学仪式，累计资助学生298名，资助金额共计54万元。积极响应省市号召，开展“出手吧姐姐 温暖2024”关爱困境妇女儿童活动，筹资近5万元对40名“两癌”妇女、困难妇女儿童和家庭进行慰问帮扶；携手巾帼爱心企业家，联合君山区教育基金会筹资3万元用于慰问全区37名困难学生；摸底君山在团州租地种植养殖户因团州溃垸而受灾的名单，争取爱心企业家捐赠棉被120套等物资进行慰问。</w:t>
      </w:r>
    </w:p>
    <w:p>
      <w:pPr>
        <w:spacing w:line="560" w:lineRule="exact"/>
        <w:ind w:firstLine="642" w:firstLineChars="200"/>
        <w:rPr>
          <w:rFonts w:hint="eastAsia" w:ascii="仿宋_GB2312" w:hAnsi="仿宋_GB2312" w:eastAsia="仿宋_GB2312" w:cs="仿宋_GB2312"/>
          <w:sz w:val="32"/>
          <w:szCs w:val="32"/>
        </w:rPr>
      </w:pPr>
      <w:r>
        <w:rPr>
          <w:rFonts w:hint="eastAsia" w:eastAsia="仿宋" w:cs="仿宋"/>
          <w:b/>
          <w:bCs/>
          <w:sz w:val="32"/>
          <w:szCs w:val="32"/>
        </w:rPr>
        <w:t>2、扎实开展巾帼志愿活动。</w:t>
      </w:r>
      <w:r>
        <w:rPr>
          <w:rFonts w:hint="eastAsia" w:ascii="仿宋_GB2312" w:hAnsi="仿宋_GB2312" w:eastAsia="仿宋_GB2312" w:cs="仿宋_GB2312"/>
          <w:sz w:val="32"/>
          <w:szCs w:val="32"/>
        </w:rPr>
        <w:t>防汛期间，全区各级妇联组织主动投身基层一线，配送爱心快餐、爱心物资等，全力做好防汛救灾后勤保障工作。组织巾帼志愿者聚焦于大堤的清洁与防汛人员休憩区的垃圾处理，以实际行动展现了新时代女性勇于担当、无私奉献的精神风貌。</w:t>
      </w:r>
    </w:p>
    <w:p>
      <w:pPr>
        <w:spacing w:line="560" w:lineRule="exact"/>
        <w:ind w:firstLine="642" w:firstLineChars="200"/>
        <w:rPr>
          <w:rFonts w:ascii="仿宋_GB2312" w:hAnsi="仿宋_GB2312" w:eastAsia="仿宋_GB2312" w:cs="仿宋_GB2312"/>
          <w:sz w:val="32"/>
          <w:szCs w:val="32"/>
        </w:rPr>
      </w:pPr>
      <w:r>
        <w:rPr>
          <w:rFonts w:hint="eastAsia" w:eastAsia="仿宋" w:cs="仿宋"/>
          <w:b/>
          <w:bCs/>
          <w:sz w:val="32"/>
          <w:szCs w:val="32"/>
        </w:rPr>
        <w:t>3、稳步推进维权维稳工作。2</w:t>
      </w:r>
      <w:r>
        <w:rPr>
          <w:rFonts w:hint="eastAsia" w:ascii="仿宋_GB2312" w:hAnsi="仿宋_GB2312" w:eastAsia="仿宋_GB2312" w:cs="仿宋_GB2312"/>
          <w:sz w:val="32"/>
          <w:szCs w:val="32"/>
        </w:rPr>
        <w:t>024年，和姐工作室共受理各类婚姻家庭268例，调和69例，接受现场咨询136例。同时，区妇联与区司法局联合设立“婚姻家庭纠纷处理窗口”，这一举措标志着君山区在构建多元化纠纷解决机制、促进社会和谐稳定方面迈出了坚实的一步。积极参与“利剑护蕾”专项行动，开展儿童防伤害、避灾险、会自救等宣讲活动13场，受益人数达1400人次。</w:t>
      </w:r>
    </w:p>
    <w:p>
      <w:pPr>
        <w:pStyle w:val="9"/>
        <w:widowControl/>
        <w:spacing w:line="560" w:lineRule="exact"/>
        <w:ind w:firstLine="0" w:firstLineChars="0"/>
        <w:rPr>
          <w:rFonts w:ascii="Times New Roman" w:hAnsi="Times New Roman" w:eastAsia="黑体"/>
          <w:sz w:val="32"/>
          <w:szCs w:val="32"/>
        </w:rPr>
      </w:pPr>
      <w:r>
        <w:rPr>
          <w:rFonts w:hint="eastAsia" w:ascii="Times New Roman" w:hAnsi="Times New Roman" w:eastAsia="黑体"/>
          <w:sz w:val="32"/>
          <w:szCs w:val="32"/>
        </w:rPr>
        <w:t>　　</w:t>
      </w:r>
      <w:r>
        <w:rPr>
          <w:rFonts w:ascii="Times New Roman" w:hAnsi="Times New Roman" w:eastAsia="黑体"/>
          <w:sz w:val="32"/>
          <w:szCs w:val="32"/>
        </w:rPr>
        <w:t>七、存在的问题及原因分析</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（一）预算精准性有待进一步提高</w:t>
      </w:r>
      <w:r>
        <w:rPr>
          <w:rFonts w:hint="eastAsia" w:ascii="Times New Roman" w:hAnsi="Times New Roman" w:eastAsia="楷体_GB2312"/>
          <w:bCs/>
          <w:sz w:val="32"/>
          <w:szCs w:val="32"/>
        </w:rPr>
        <w:t>。</w:t>
      </w:r>
      <w:r>
        <w:rPr>
          <w:rFonts w:hint="eastAsia" w:ascii="Times New Roman" w:hAnsi="Times New Roman" w:eastAsia="仿宋_GB2312"/>
          <w:sz w:val="32"/>
          <w:szCs w:val="32"/>
        </w:rPr>
        <w:t>由于预算编制具有不可预见性，年初安排预算时，对各项公用支出的分配安排缺乏统一的硬性标准，导致部分资金使用时需要进行指标调剂。</w:t>
      </w:r>
    </w:p>
    <w:p>
      <w:pPr>
        <w:widowControl/>
        <w:shd w:val="clear" w:color="auto" w:fill="FFFFFF"/>
        <w:spacing w:line="560" w:lineRule="exact"/>
        <w:ind w:firstLine="640" w:firstLineChars="200"/>
        <w:jc w:val="left"/>
        <w:rPr>
          <w:rFonts w:ascii="Times New Roman" w:hAnsi="Times New Roman" w:eastAsia="仿宋_GB2312"/>
          <w:sz w:val="32"/>
          <w:szCs w:val="32"/>
        </w:rPr>
      </w:pPr>
      <w:r>
        <w:rPr>
          <w:rFonts w:hint="eastAsia" w:ascii="仿宋_GB2312" w:hAnsi="仿宋_GB2312" w:eastAsia="仿宋_GB2312" w:cs="仿宋_GB2312"/>
          <w:kern w:val="2"/>
          <w:sz w:val="32"/>
          <w:szCs w:val="32"/>
        </w:rPr>
        <w:t>（二）预算绩效管理意识有待进一步加强，预算绩效管理的工作方法方式有待创新。</w:t>
      </w:r>
      <w:r>
        <w:rPr>
          <w:rFonts w:hint="eastAsia" w:ascii="Times New Roman" w:hAnsi="Times New Roman" w:eastAsia="仿宋_GB2312"/>
          <w:sz w:val="32"/>
          <w:szCs w:val="32"/>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widowControl/>
        <w:numPr>
          <w:ilvl w:val="0"/>
          <w:numId w:val="1"/>
        </w:numPr>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财务业务水平有待进一步提高。</w:t>
      </w:r>
      <w:r>
        <w:rPr>
          <w:rFonts w:hint="eastAsia" w:ascii="Times New Roman" w:hAnsi="Times New Roman" w:eastAsia="仿宋_GB2312"/>
          <w:sz w:val="32"/>
          <w:szCs w:val="32"/>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八、下一步改进措施</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（一）加强预算编制的前瞻性，提高预算编制水平</w:t>
      </w:r>
      <w:r>
        <w:rPr>
          <w:rFonts w:hint="eastAsia" w:ascii="楷体" w:hAnsi="楷体" w:eastAsia="楷体" w:cs="楷体"/>
          <w:sz w:val="32"/>
          <w:szCs w:val="32"/>
        </w:rPr>
        <w:t>。</w:t>
      </w:r>
      <w:r>
        <w:rPr>
          <w:rFonts w:hint="eastAsia" w:ascii="Times New Roman" w:hAnsi="Times New Roman" w:eastAsia="仿宋_GB2312"/>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widowControl/>
        <w:numPr>
          <w:ilvl w:val="0"/>
          <w:numId w:val="3"/>
        </w:num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九、部门整体支出绩效自评结果拟应用和公开情况</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widowControl/>
        <w:shd w:val="clear" w:color="auto" w:fill="FFFFFF"/>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对部门整体支出绩效自评在规定时间内公开至本单位门户网站，确保公开数据真实、完整、准确。</w:t>
      </w:r>
    </w:p>
    <w:p>
      <w:pPr>
        <w:widowControl/>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pPr>
        <w:spacing w:line="360" w:lineRule="auto"/>
        <w:ind w:firstLine="1600" w:firstLineChars="500"/>
        <w:rPr>
          <w:rFonts w:ascii="仿宋_GB2312" w:hAnsi="仿宋_GB2312" w:eastAsia="仿宋_GB2312" w:cs="仿宋_GB2312"/>
          <w:sz w:val="32"/>
          <w:szCs w:val="32"/>
        </w:rPr>
      </w:pPr>
      <w:r>
        <w:rPr>
          <w:rFonts w:hint="eastAsia" w:ascii="Times New Roman" w:hAnsi="Times New Roman" w:eastAsia="仿宋_GB2312"/>
          <w:sz w:val="32"/>
          <w:szCs w:val="32"/>
        </w:rPr>
        <w:t>　　无。</w:t>
      </w:r>
      <w:r>
        <w:rPr>
          <w:rFonts w:hint="eastAsia" w:ascii="Times New Roman" w:hAnsi="Times New Roman" w:eastAsia="仿宋_GB2312"/>
          <w:sz w:val="32"/>
          <w:szCs w:val="32"/>
        </w:rPr>
        <w:br w:type="page"/>
      </w:r>
      <w:bookmarkStart w:id="0" w:name="_GoBack"/>
      <w:bookmarkEnd w:id="0"/>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66.67%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tblPrEx>
          <w:tblCellMar>
            <w:top w:w="0" w:type="dxa"/>
            <w:left w:w="108" w:type="dxa"/>
            <w:bottom w:w="0" w:type="dxa"/>
            <w:right w:w="108" w:type="dxa"/>
          </w:tblCellMar>
        </w:tblPrEx>
        <w:trPr>
          <w:trHeight w:val="31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0.06</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0.06</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trHeight w:val="40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170.69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36.58</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35.59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13.45</w:t>
            </w: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1.05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1.05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0.36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0.01</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0.01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0.03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10.93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10.93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20.05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20.05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20.05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101.11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85.55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85.55</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（2024年完工项目）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pPr>
        <w:widowControl/>
        <w:spacing w:line="400" w:lineRule="exact"/>
        <w:jc w:val="left"/>
        <w:rPr>
          <w:rFonts w:ascii="黑体" w:hAnsi="黑体" w:eastAsia="黑体" w:cs="黑体"/>
          <w:sz w:val="32"/>
          <w:szCs w:val="32"/>
        </w:rPr>
      </w:pPr>
      <w:r>
        <w:rPr>
          <w:rFonts w:ascii="Times New Roman" w:hAnsi="Times New Roman" w:eastAsia="仿宋_GB2312"/>
          <w:sz w:val="22"/>
        </w:rPr>
        <w:t>填表人</w:t>
      </w:r>
      <w:r>
        <w:rPr>
          <w:rFonts w:hint="eastAsia" w:ascii="Times New Roman" w:hAnsi="Times New Roman" w:eastAsia="仿宋_GB2312"/>
          <w:sz w:val="22"/>
        </w:rPr>
        <w:t>：</w:t>
      </w:r>
      <w:r>
        <w:rPr>
          <w:rFonts w:ascii="Times New Roman" w:hAnsi="Times New Roman" w:eastAsia="仿宋_GB2312"/>
          <w:sz w:val="22"/>
        </w:rPr>
        <w:t xml:space="preserve">填报日期： 联系电话：单位负责人签字： </w:t>
      </w:r>
      <w:r>
        <w:rPr>
          <w:rFonts w:ascii="Times New Roman" w:hAnsi="Times New Roman" w:eastAsia="仿宋_GB2312"/>
          <w:sz w:val="22"/>
        </w:rPr>
        <w:br w:type="page"/>
      </w:r>
      <w:r>
        <w:rPr>
          <w:rFonts w:hint="eastAsia" w:ascii="黑体" w:hAnsi="黑体" w:eastAsia="黑体" w:cs="黑体"/>
          <w:sz w:val="32"/>
          <w:szCs w:val="32"/>
        </w:rPr>
        <w:t>附件2</w:t>
      </w:r>
    </w:p>
    <w:p>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岳阳市君山区妇女联合会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265" w:hRule="atLeast"/>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73.95</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85.55</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79.87</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93.36%</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9.34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rPr>
              <w:t>79.14</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sz w:val="20"/>
                <w:szCs w:val="20"/>
              </w:rPr>
              <w:t>79.87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政府性基金拨款：0</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其他资金：0.73</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1.坚持党建引领</w:t>
            </w:r>
          </w:p>
          <w:p>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2.围绕服务大局，在发展中彰显巾帼担当</w:t>
            </w:r>
          </w:p>
          <w:p>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3.健全工作机制，在关爱妇儿中用情用心</w:t>
            </w:r>
          </w:p>
          <w:p>
            <w:pPr>
              <w:widowControl/>
              <w:spacing w:line="24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4.聚焦民生服务，在多措并举中擦亮“娘家”品牌</w:t>
            </w:r>
          </w:p>
        </w:tc>
        <w:tc>
          <w:tcPr>
            <w:tcW w:w="4304" w:type="dxa"/>
            <w:gridSpan w:val="4"/>
            <w:tcBorders>
              <w:top w:val="single" w:color="auto" w:sz="4" w:space="0"/>
              <w:left w:val="nil"/>
              <w:bottom w:val="single" w:color="auto" w:sz="4" w:space="0"/>
              <w:right w:val="single" w:color="auto" w:sz="4" w:space="0"/>
            </w:tcBorders>
            <w:noWrap/>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 持续推进省级民生实事项目家庭教育指导服务“向阳花行动”，组建君山家庭教育讲师团，全年共完成线下课程21场，惠及线上线下超10000名家长，超额完成任务；认真开展农村及城镇低保妇女“两癌”免费筛查省市区重点民生实事，全区共完成5000人免费两癌检查指标；实施2024年中央专项彩票公益金支持低收入妇女“两癌”救助项目，为3名低收入“两癌”妇女争取中央公益彩票基金3万元；承办我区2024年“金秋助学·梦想起航”捐资助学仪式，累计资助学生298名，资助金额共计54万元。积极响应省市号召，开展“出手吧姐姐 温暖2024”关爱困境妇女儿童活动，筹资近5万元对40名“两癌”妇女、困难妇女儿童和家庭进行慰问帮扶；携手巾帼爱心企业家，联合君山区教育基金会筹资3万元用于慰问全区37名困难学生；摸底君山在团州租地种植养殖户因团州溃垸而受灾的名单，争取爱心企业家捐赠棉被120套等物资进行慰</w:t>
            </w:r>
          </w:p>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 2024年，和姐工作室共受理各类婚姻家庭268例，调和69例，接受现场咨询136例。</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ascii="仿宋_GB2312" w:hAnsi="仿宋_GB2312" w:eastAsia="仿宋_GB2312" w:cs="仿宋_GB2312"/>
                <w:color w:val="000000"/>
                <w:sz w:val="20"/>
                <w:szCs w:val="20"/>
              </w:rPr>
            </w:pP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组建君山家庭教育讲师团</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≥21次</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≥21次</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开展免费两癌筛查</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≥5000人</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≥5000人</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妇女儿童合法权益</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乡镇、街道妇联组织组建率</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信息更新及时率</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71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ascii="仿宋_GB2312" w:hAnsi="仿宋_GB2312" w:eastAsia="仿宋_GB2312" w:cs="仿宋_GB2312"/>
                <w:color w:val="000000"/>
                <w:sz w:val="20"/>
                <w:szCs w:val="20"/>
              </w:rPr>
            </w:pP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实行产业帮扶、义务帮扶</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有效提高</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有效提高</w:t>
            </w:r>
          </w:p>
        </w:tc>
        <w:tc>
          <w:tcPr>
            <w:tcW w:w="71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提升经济措施未到位，下年将加强措施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提高市场服务质量</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71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无明显环境效益</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无明显环境效益</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无明显环境效益</w:t>
            </w:r>
          </w:p>
        </w:tc>
        <w:tc>
          <w:tcPr>
            <w:tcW w:w="71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无明显可持续影响效益</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无明显可持续影响效益</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无明显可持续影响效益</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妇女儿童满意度</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97.34</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40" w:lineRule="exact"/>
        <w:rPr>
          <w:rFonts w:ascii="黑体" w:hAnsi="黑体" w:eastAsia="黑体" w:cs="黑体"/>
          <w:sz w:val="32"/>
          <w:szCs w:val="32"/>
        </w:rPr>
      </w:pPr>
      <w:r>
        <w:rPr>
          <w:rFonts w:ascii="Times New Roman" w:hAnsi="Times New Roman" w:eastAsia="仿宋_GB2312"/>
          <w:sz w:val="22"/>
          <w:szCs w:val="22"/>
        </w:rPr>
        <w:t xml:space="preserve">填表人：      填报日期：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r>
        <w:rPr>
          <w:rFonts w:ascii="Times New Roman" w:hAnsi="Times New Roman" w:eastAsia="仿宋_GB2312"/>
          <w:sz w:val="22"/>
          <w:szCs w:val="22"/>
        </w:rPr>
        <w:br w:type="page"/>
      </w:r>
      <w:r>
        <w:rPr>
          <w:rFonts w:hint="eastAsia" w:ascii="黑体" w:hAnsi="黑体" w:eastAsia="黑体" w:cs="黑体"/>
          <w:sz w:val="32"/>
          <w:szCs w:val="32"/>
        </w:rPr>
        <w:t>附件5</w:t>
      </w:r>
    </w:p>
    <w:p>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pPr>
              <w:spacing w:line="300" w:lineRule="exact"/>
              <w:jc w:val="center"/>
              <w:rPr>
                <w:rFonts w:ascii="Times New Roman" w:hAnsi="Times New Roman" w:eastAsia="仿宋_GB2312"/>
                <w:sz w:val="20"/>
                <w:szCs w:val="20"/>
              </w:rPr>
            </w:pPr>
          </w:p>
          <w:p>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pPr>
              <w:numPr>
                <w:ilvl w:val="0"/>
                <w:numId w:val="4"/>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pPr>
              <w:numPr>
                <w:ilvl w:val="0"/>
                <w:numId w:val="4"/>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rPr>
            </w:pPr>
          </w:p>
          <w:p>
            <w:pPr>
              <w:jc w:val="center"/>
              <w:rPr>
                <w:rFonts w:ascii="Times New Roman" w:hAnsi="Times New Roman" w:eastAsia="仿宋_GB2312"/>
                <w:sz w:val="20"/>
                <w:szCs w:val="20"/>
              </w:rPr>
            </w:pPr>
            <w:r>
              <w:rPr>
                <w:rFonts w:ascii="Times New Roman" w:hAnsi="Times New Roman" w:eastAsia="仿宋_GB2312"/>
                <w:sz w:val="20"/>
                <w:szCs w:val="20"/>
              </w:rPr>
              <w:t>反映问</w:t>
            </w:r>
          </w:p>
          <w:p>
            <w:pPr>
              <w:jc w:val="center"/>
              <w:rPr>
                <w:rFonts w:ascii="Times New Roman" w:hAnsi="Times New Roman" w:eastAsia="仿宋_GB2312"/>
                <w:sz w:val="20"/>
                <w:szCs w:val="20"/>
              </w:rPr>
            </w:pPr>
            <w:r>
              <w:rPr>
                <w:rFonts w:ascii="Times New Roman" w:hAnsi="Times New Roman" w:eastAsia="仿宋_GB2312"/>
                <w:sz w:val="20"/>
                <w:szCs w:val="20"/>
              </w:rPr>
              <w:t>题情况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　</w:t>
            </w:r>
          </w:p>
        </w:tc>
      </w:tr>
    </w:tbl>
    <w:p>
      <w:pPr>
        <w:spacing w:line="360" w:lineRule="auto"/>
        <w:rPr>
          <w:rFonts w:ascii="仿宋_GB2312" w:hAnsi="仿宋_GB2312" w:eastAsia="仿宋_GB2312" w:cs="仿宋_GB2312"/>
          <w:sz w:val="32"/>
          <w:szCs w:val="32"/>
        </w:rPr>
      </w:pPr>
    </w:p>
    <w:p/>
    <w:sectPr>
      <w:footerReference r:id="rId3" w:type="default"/>
      <w:pgSz w:w="11906" w:h="16838"/>
      <w:pgMar w:top="1587" w:right="1587" w:bottom="1587" w:left="1587" w:header="851" w:footer="992" w:gutter="0"/>
      <w:cols w:space="720" w:num="1"/>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4"/>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RhMjdlZjQ5YjRhZjNkYTU5MWJjNTdiM2YyYzk4OWIifQ=="/>
  </w:docVars>
  <w:rsids>
    <w:rsidRoot w:val="5CC73AEB"/>
    <w:rsid w:val="0017252D"/>
    <w:rsid w:val="001E2D63"/>
    <w:rsid w:val="005E390B"/>
    <w:rsid w:val="008C08D9"/>
    <w:rsid w:val="00916CD4"/>
    <w:rsid w:val="00923D30"/>
    <w:rsid w:val="00BE2952"/>
    <w:rsid w:val="04D06013"/>
    <w:rsid w:val="04D1736D"/>
    <w:rsid w:val="075449B1"/>
    <w:rsid w:val="07DC6755"/>
    <w:rsid w:val="08FD2E27"/>
    <w:rsid w:val="0A0A7F8B"/>
    <w:rsid w:val="0A371911"/>
    <w:rsid w:val="0CEC52A6"/>
    <w:rsid w:val="10282537"/>
    <w:rsid w:val="156E60BC"/>
    <w:rsid w:val="15E11B06"/>
    <w:rsid w:val="16B23BE3"/>
    <w:rsid w:val="18DD19B3"/>
    <w:rsid w:val="1A4B69F3"/>
    <w:rsid w:val="1BC7354C"/>
    <w:rsid w:val="1D7D1305"/>
    <w:rsid w:val="20BE7648"/>
    <w:rsid w:val="20F65D78"/>
    <w:rsid w:val="217F0425"/>
    <w:rsid w:val="219E23A2"/>
    <w:rsid w:val="22586564"/>
    <w:rsid w:val="242C715C"/>
    <w:rsid w:val="24D55897"/>
    <w:rsid w:val="28CF48F2"/>
    <w:rsid w:val="28F85103"/>
    <w:rsid w:val="2A9768ED"/>
    <w:rsid w:val="2BCF262C"/>
    <w:rsid w:val="2C7273BA"/>
    <w:rsid w:val="2E921798"/>
    <w:rsid w:val="33E67E90"/>
    <w:rsid w:val="361F652E"/>
    <w:rsid w:val="38B7797A"/>
    <w:rsid w:val="3AE10137"/>
    <w:rsid w:val="3DD671C7"/>
    <w:rsid w:val="3E4B54BF"/>
    <w:rsid w:val="401E2B47"/>
    <w:rsid w:val="406A21FA"/>
    <w:rsid w:val="406A4374"/>
    <w:rsid w:val="40DB004A"/>
    <w:rsid w:val="48587156"/>
    <w:rsid w:val="4986331F"/>
    <w:rsid w:val="4D6C56FA"/>
    <w:rsid w:val="55642FF8"/>
    <w:rsid w:val="561F12B3"/>
    <w:rsid w:val="58570C3F"/>
    <w:rsid w:val="58CC01A0"/>
    <w:rsid w:val="5C20569F"/>
    <w:rsid w:val="5C82434A"/>
    <w:rsid w:val="5CC73AEB"/>
    <w:rsid w:val="5DA402F0"/>
    <w:rsid w:val="606A03BA"/>
    <w:rsid w:val="60C3659A"/>
    <w:rsid w:val="660C4E9E"/>
    <w:rsid w:val="66BC66AA"/>
    <w:rsid w:val="689A76AB"/>
    <w:rsid w:val="6A94006A"/>
    <w:rsid w:val="6C172090"/>
    <w:rsid w:val="6C823EF2"/>
    <w:rsid w:val="6DC13431"/>
    <w:rsid w:val="7590122F"/>
    <w:rsid w:val="78856ECF"/>
    <w:rsid w:val="7C83021D"/>
    <w:rsid w:val="7CB94E5D"/>
    <w:rsid w:val="7F604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sz w:val="24"/>
    </w:rPr>
  </w:style>
  <w:style w:type="paragraph" w:styleId="9">
    <w:name w:val="List Paragraph"/>
    <w:basedOn w:val="1"/>
    <w:qFormat/>
    <w:uiPriority w:val="99"/>
    <w:pPr>
      <w:ind w:firstLine="420" w:firstLineChars="200"/>
    </w:pPr>
    <w:rPr>
      <w:rFonts w:ascii="Calibri" w:hAnsi="Calibri"/>
      <w:szCs w:val="22"/>
    </w:rPr>
  </w:style>
  <w:style w:type="character" w:customStyle="1" w:styleId="10">
    <w:name w:val="NormalCharacter"/>
    <w:semiHidden/>
    <w:qFormat/>
    <w:uiPriority w:val="0"/>
    <w:rPr>
      <w:rFonts w:ascii="Calibri" w:hAnsi="Calibri" w:eastAsia="宋体"/>
      <w:kern w:val="2"/>
      <w:sz w:val="21"/>
      <w:szCs w:val="24"/>
      <w:lang w:val="en-US" w:eastAsia="zh-CN" w:bidi="ar-SA"/>
    </w:rPr>
  </w:style>
  <w:style w:type="character" w:customStyle="1" w:styleId="11">
    <w:name w:val="页眉 Char"/>
    <w:basedOn w:val="8"/>
    <w:link w:val="5"/>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5957</Words>
  <Characters>1216</Characters>
  <Lines>10</Lines>
  <Paragraphs>14</Paragraphs>
  <TotalTime>24</TotalTime>
  <ScaleCrop>false</ScaleCrop>
  <LinksUpToDate>false</LinksUpToDate>
  <CharactersWithSpaces>7159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2024-06-19T08:45:00Z</dcterms:created>
  <dc:creator>郑云峰</dc:creator>
  <cp:lastModifiedBy>yyadmin</cp:lastModifiedBy>
  <dcterms:modified xsi:type="dcterms:W3CDTF">2025-05-29T08:46:43Z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BC1FCAD18FF44EF0979166B849C4A24D_13</vt:lpwstr>
  </property>
</Properties>
</file>