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F13" w:rsidRDefault="00E94F13" w:rsidP="00E94F13">
      <w:pPr>
        <w:spacing w:line="570" w:lineRule="atLeas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object w:dxaOrig="23041" w:dyaOrig="30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57.75pt" o:ole="">
            <v:imagedata r:id="rId7" o:title=""/>
          </v:shape>
          <o:OLEObject Type="Embed" ProgID="AcroExch.Document.7" ShapeID="_x0000_i1025" DrawAspect="Content" ObjectID="_1808639201" r:id="rId8"/>
        </w:object>
      </w:r>
    </w:p>
    <w:p w:rsidR="00365B06" w:rsidRDefault="00353FA0">
      <w:pPr>
        <w:spacing w:line="570" w:lineRule="atLeas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2024年度共青团</w:t>
      </w:r>
      <w:proofErr w:type="gramStart"/>
      <w:r>
        <w:rPr>
          <w:rFonts w:ascii="方正小标宋简体" w:eastAsia="方正小标宋简体" w:hAnsi="方正小标宋简体" w:cs="方正小标宋简体" w:hint="eastAsia"/>
          <w:sz w:val="44"/>
          <w:szCs w:val="44"/>
        </w:rPr>
        <w:t>岳阳市君山区</w:t>
      </w:r>
      <w:proofErr w:type="gramEnd"/>
      <w:r>
        <w:rPr>
          <w:rFonts w:ascii="方正小标宋简体" w:eastAsia="方正小标宋简体" w:hAnsi="方正小标宋简体" w:cs="方正小标宋简体" w:hint="eastAsia"/>
          <w:sz w:val="44"/>
          <w:szCs w:val="44"/>
        </w:rPr>
        <w:t>委员会</w:t>
      </w:r>
    </w:p>
    <w:p w:rsidR="00365B06" w:rsidRDefault="00353FA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单位整体支出绩效自评报告</w:t>
      </w:r>
    </w:p>
    <w:p w:rsidR="00365B06" w:rsidRDefault="00365B06">
      <w:pPr>
        <w:jc w:val="center"/>
        <w:rPr>
          <w:rFonts w:ascii="方正小标宋简体" w:eastAsia="方正小标宋简体" w:hAnsi="方正小标宋简体" w:cs="方正小标宋简体"/>
          <w:sz w:val="44"/>
          <w:szCs w:val="44"/>
        </w:rPr>
      </w:pPr>
    </w:p>
    <w:p w:rsidR="00365B06" w:rsidRDefault="00365B06">
      <w:pPr>
        <w:spacing w:line="640" w:lineRule="exact"/>
        <w:ind w:firstLineChars="200" w:firstLine="640"/>
        <w:rPr>
          <w:rFonts w:ascii="Times New Roman" w:eastAsia="仿宋_GB2312" w:hAnsi="Times New Roman"/>
          <w:sz w:val="32"/>
          <w:szCs w:val="32"/>
        </w:rPr>
      </w:pPr>
    </w:p>
    <w:p w:rsidR="00365B06" w:rsidRDefault="00353FA0">
      <w:pPr>
        <w:numPr>
          <w:ilvl w:val="0"/>
          <w:numId w:val="1"/>
        </w:numPr>
        <w:spacing w:line="640" w:lineRule="exact"/>
        <w:ind w:firstLineChars="200" w:firstLine="640"/>
        <w:rPr>
          <w:rFonts w:ascii="Times New Roman" w:eastAsia="黑体" w:hAnsi="Times New Roman"/>
          <w:sz w:val="32"/>
          <w:szCs w:val="32"/>
        </w:rPr>
      </w:pPr>
      <w:r>
        <w:rPr>
          <w:rFonts w:ascii="Times New Roman" w:eastAsia="黑体" w:hAnsi="Times New Roman"/>
          <w:sz w:val="32"/>
          <w:szCs w:val="32"/>
        </w:rPr>
        <w:t>部门（单位）基本情况</w:t>
      </w:r>
    </w:p>
    <w:p w:rsidR="00365B06" w:rsidRDefault="00353FA0">
      <w:pPr>
        <w:numPr>
          <w:ilvl w:val="0"/>
          <w:numId w:val="2"/>
        </w:numPr>
        <w:spacing w:line="56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、单位职能</w:t>
      </w:r>
    </w:p>
    <w:p w:rsidR="00365B06" w:rsidRDefault="00353FA0">
      <w:pPr>
        <w:widowControl/>
        <w:spacing w:line="600" w:lineRule="exact"/>
        <w:ind w:firstLineChars="196" w:firstLine="627"/>
        <w:rPr>
          <w:rFonts w:ascii="仿宋_GB2312" w:eastAsia="仿宋_GB2312" w:hAnsi="仿宋_GB2312" w:cs="仿宋_GB2312"/>
          <w:b/>
          <w:sz w:val="32"/>
          <w:szCs w:val="32"/>
        </w:rPr>
      </w:pPr>
      <w:r>
        <w:rPr>
          <w:rFonts w:eastAsia="仿宋_GB2312" w:hint="eastAsia"/>
          <w:sz w:val="32"/>
          <w:szCs w:val="32"/>
        </w:rPr>
        <w:t xml:space="preserve"> </w:t>
      </w:r>
      <w:r>
        <w:rPr>
          <w:rFonts w:eastAsia="仿宋_GB2312" w:cs="仿宋_GB2312" w:hint="eastAsia"/>
          <w:sz w:val="32"/>
          <w:szCs w:val="32"/>
        </w:rPr>
        <w:t>领导全区共青团、少先队工作，对全区青少年社团组织进行指导和管理；负责全区团的组织建设；</w:t>
      </w:r>
      <w:r>
        <w:rPr>
          <w:rFonts w:eastAsia="仿宋_GB2312" w:cs="仿宋_GB2312"/>
          <w:sz w:val="32"/>
          <w:szCs w:val="32"/>
        </w:rPr>
        <w:t>认真研究和把握新形势下青年工作的规律，积极探索组织、引导、服务、联系青年的新途径，充分发挥共青团作为党的助手和后备军、党联系青年群众的桥梁纽带作用</w:t>
      </w:r>
      <w:r>
        <w:rPr>
          <w:rFonts w:eastAsia="仿宋_GB2312" w:cs="仿宋_GB2312" w:hint="eastAsia"/>
          <w:sz w:val="32"/>
          <w:szCs w:val="32"/>
        </w:rPr>
        <w:t>；完成领导和上级交办的其它事项。</w:t>
      </w:r>
    </w:p>
    <w:p w:rsidR="00365B06" w:rsidRDefault="00353FA0">
      <w:pPr>
        <w:spacing w:line="560" w:lineRule="exact"/>
        <w:ind w:firstLineChars="200" w:firstLine="643"/>
        <w:rPr>
          <w:rFonts w:ascii="仿宋_GB2312" w:eastAsia="仿宋_GB2312" w:hAnsi="仿宋_GB2312" w:cs="仿宋_GB2312"/>
          <w:bCs/>
          <w:sz w:val="32"/>
          <w:szCs w:val="32"/>
        </w:rPr>
      </w:pPr>
      <w:r>
        <w:rPr>
          <w:rFonts w:ascii="Times New Roman" w:eastAsia="楷体_GB2312" w:hAnsi="Times New Roman"/>
          <w:b/>
          <w:sz w:val="32"/>
          <w:szCs w:val="32"/>
        </w:rPr>
        <w:t>（</w:t>
      </w:r>
      <w:r>
        <w:rPr>
          <w:rFonts w:ascii="Times New Roman" w:eastAsia="楷体_GB2312" w:hAnsi="Times New Roman" w:hint="eastAsia"/>
          <w:b/>
          <w:sz w:val="32"/>
          <w:szCs w:val="32"/>
        </w:rPr>
        <w:t>二</w:t>
      </w:r>
      <w:r>
        <w:rPr>
          <w:rFonts w:ascii="Times New Roman" w:eastAsia="楷体_GB2312" w:hAnsi="Times New Roman"/>
          <w:b/>
          <w:sz w:val="32"/>
          <w:szCs w:val="32"/>
        </w:rPr>
        <w:t>）</w:t>
      </w:r>
      <w:r>
        <w:rPr>
          <w:rFonts w:ascii="仿宋_GB2312" w:eastAsia="仿宋_GB2312" w:hAnsi="仿宋_GB2312" w:cs="仿宋_GB2312" w:hint="eastAsia"/>
          <w:b/>
          <w:sz w:val="32"/>
          <w:szCs w:val="32"/>
        </w:rPr>
        <w:t>、机构设置</w:t>
      </w:r>
    </w:p>
    <w:p w:rsidR="00365B06" w:rsidRDefault="00353FA0">
      <w:pPr>
        <w:widowControl/>
        <w:spacing w:line="600" w:lineRule="exact"/>
        <w:ind w:firstLineChars="200" w:firstLine="640"/>
        <w:jc w:val="left"/>
        <w:rPr>
          <w:rFonts w:eastAsia="仿宋_GB2312" w:cs="仿宋_GB2312"/>
          <w:sz w:val="32"/>
          <w:szCs w:val="32"/>
        </w:rPr>
      </w:pPr>
      <w:r>
        <w:rPr>
          <w:rFonts w:eastAsia="仿宋_GB2312" w:cs="仿宋_GB2312" w:hint="eastAsia"/>
          <w:sz w:val="32"/>
          <w:szCs w:val="32"/>
        </w:rPr>
        <w:t>共青团</w:t>
      </w:r>
      <w:proofErr w:type="gramStart"/>
      <w:r>
        <w:rPr>
          <w:rFonts w:eastAsia="仿宋_GB2312" w:cs="仿宋_GB2312" w:hint="eastAsia"/>
          <w:sz w:val="32"/>
          <w:szCs w:val="32"/>
        </w:rPr>
        <w:t>岳阳市君山区</w:t>
      </w:r>
      <w:proofErr w:type="gramEnd"/>
      <w:r>
        <w:rPr>
          <w:rFonts w:eastAsia="仿宋_GB2312" w:cs="仿宋_GB2312" w:hint="eastAsia"/>
          <w:sz w:val="32"/>
          <w:szCs w:val="32"/>
        </w:rPr>
        <w:t>委员会内设</w:t>
      </w:r>
      <w:r>
        <w:rPr>
          <w:rFonts w:eastAsia="仿宋_GB2312" w:cs="仿宋_GB2312" w:hint="eastAsia"/>
          <w:sz w:val="32"/>
          <w:szCs w:val="32"/>
        </w:rPr>
        <w:t>1</w:t>
      </w:r>
      <w:r>
        <w:rPr>
          <w:rFonts w:eastAsia="仿宋_GB2312" w:cs="仿宋_GB2312" w:hint="eastAsia"/>
          <w:sz w:val="32"/>
          <w:szCs w:val="32"/>
        </w:rPr>
        <w:t>个职能股室：</w:t>
      </w:r>
      <w:r>
        <w:rPr>
          <w:rFonts w:ascii="Times New Roman" w:eastAsia="仿宋_GB2312" w:hAnsi="Times New Roman" w:hint="eastAsia"/>
          <w:sz w:val="32"/>
          <w:szCs w:val="32"/>
        </w:rPr>
        <w:t>综合性办公室</w:t>
      </w:r>
      <w:r>
        <w:rPr>
          <w:rFonts w:eastAsia="仿宋_GB2312" w:cs="仿宋_GB2312" w:hint="eastAsia"/>
          <w:sz w:val="32"/>
          <w:szCs w:val="32"/>
        </w:rPr>
        <w:t>；</w:t>
      </w:r>
      <w:proofErr w:type="gramStart"/>
      <w:r>
        <w:rPr>
          <w:rFonts w:eastAsia="仿宋_GB2312" w:cs="仿宋_GB2312" w:hint="eastAsia"/>
          <w:sz w:val="32"/>
          <w:szCs w:val="32"/>
        </w:rPr>
        <w:t>核定区</w:t>
      </w:r>
      <w:proofErr w:type="gramEnd"/>
      <w:r>
        <w:rPr>
          <w:rFonts w:eastAsia="仿宋_GB2312" w:cs="仿宋_GB2312" w:hint="eastAsia"/>
          <w:sz w:val="32"/>
          <w:szCs w:val="32"/>
        </w:rPr>
        <w:t>团委机关全额拨款事业编制</w:t>
      </w:r>
      <w:r>
        <w:rPr>
          <w:rFonts w:eastAsia="仿宋_GB2312" w:cs="仿宋_GB2312" w:hint="eastAsia"/>
          <w:sz w:val="32"/>
          <w:szCs w:val="32"/>
        </w:rPr>
        <w:t>3</w:t>
      </w:r>
      <w:r>
        <w:rPr>
          <w:rFonts w:eastAsia="仿宋_GB2312" w:cs="仿宋_GB2312" w:hint="eastAsia"/>
          <w:sz w:val="32"/>
          <w:szCs w:val="32"/>
        </w:rPr>
        <w:t>名，其中</w:t>
      </w:r>
      <w:r>
        <w:rPr>
          <w:rFonts w:ascii="Times New Roman" w:eastAsia="仿宋_GB2312" w:hAnsi="Times New Roman" w:hint="eastAsia"/>
          <w:sz w:val="32"/>
          <w:szCs w:val="32"/>
        </w:rPr>
        <w:t>书记</w:t>
      </w:r>
      <w:r>
        <w:rPr>
          <w:rFonts w:ascii="Times New Roman" w:eastAsia="仿宋_GB2312" w:hAnsi="Times New Roman" w:hint="eastAsia"/>
          <w:sz w:val="32"/>
          <w:szCs w:val="32"/>
        </w:rPr>
        <w:t>1</w:t>
      </w:r>
      <w:r>
        <w:rPr>
          <w:rFonts w:ascii="Times New Roman" w:eastAsia="仿宋_GB2312" w:hAnsi="Times New Roman" w:hint="eastAsia"/>
          <w:sz w:val="32"/>
          <w:szCs w:val="32"/>
        </w:rPr>
        <w:t>名，副书记</w:t>
      </w:r>
      <w:r>
        <w:rPr>
          <w:rFonts w:ascii="Times New Roman" w:eastAsia="仿宋_GB2312" w:hAnsi="Times New Roman" w:hint="eastAsia"/>
          <w:sz w:val="32"/>
          <w:szCs w:val="32"/>
        </w:rPr>
        <w:t>2</w:t>
      </w:r>
      <w:r>
        <w:rPr>
          <w:rFonts w:ascii="Times New Roman" w:eastAsia="仿宋_GB2312" w:hAnsi="Times New Roman" w:hint="eastAsia"/>
          <w:sz w:val="32"/>
          <w:szCs w:val="32"/>
        </w:rPr>
        <w:t>名</w:t>
      </w:r>
      <w:r>
        <w:rPr>
          <w:rFonts w:eastAsia="仿宋_GB2312" w:cs="仿宋_GB2312" w:hint="eastAsia"/>
          <w:sz w:val="32"/>
          <w:szCs w:val="32"/>
        </w:rPr>
        <w:t>。</w:t>
      </w:r>
    </w:p>
    <w:p w:rsidR="00365B06" w:rsidRDefault="00353FA0">
      <w:pPr>
        <w:pStyle w:val="a7"/>
        <w:widowControl/>
        <w:spacing w:line="640" w:lineRule="exact"/>
        <w:ind w:firstLine="640"/>
        <w:rPr>
          <w:rFonts w:ascii="Times New Roman" w:eastAsia="黑体" w:hAnsi="Times New Roman"/>
          <w:sz w:val="32"/>
          <w:szCs w:val="32"/>
        </w:rPr>
      </w:pPr>
      <w:r>
        <w:rPr>
          <w:rFonts w:ascii="Times New Roman" w:eastAsia="黑体" w:hAnsi="Times New Roman"/>
          <w:sz w:val="32"/>
          <w:szCs w:val="32"/>
        </w:rPr>
        <w:t>二、一般公共预算支出情况</w:t>
      </w:r>
    </w:p>
    <w:p w:rsidR="00365B06" w:rsidRDefault="00353FA0">
      <w:pPr>
        <w:pStyle w:val="a7"/>
        <w:widowControl/>
        <w:spacing w:line="640" w:lineRule="exact"/>
        <w:ind w:firstLine="643"/>
        <w:rPr>
          <w:rFonts w:ascii="Times New Roman" w:eastAsia="楷体_GB2312" w:hAnsi="Times New Roman"/>
          <w:b/>
          <w:sz w:val="32"/>
          <w:szCs w:val="32"/>
        </w:rPr>
      </w:pPr>
      <w:r>
        <w:rPr>
          <w:rFonts w:ascii="Times New Roman" w:eastAsia="楷体_GB2312" w:hAnsi="Times New Roman"/>
          <w:b/>
          <w:sz w:val="32"/>
          <w:szCs w:val="32"/>
        </w:rPr>
        <w:t>（一）基本支出情况</w:t>
      </w:r>
    </w:p>
    <w:p w:rsidR="00365B06" w:rsidRDefault="00353FA0">
      <w:pPr>
        <w:pStyle w:val="a7"/>
        <w:widowControl/>
        <w:spacing w:line="560" w:lineRule="exact"/>
        <w:ind w:firstLine="640"/>
        <w:rPr>
          <w:rFonts w:ascii="Times New Roman" w:eastAsia="楷体_GB2312" w:hAnsi="Times New Roman"/>
          <w:bCs/>
          <w:sz w:val="32"/>
          <w:szCs w:val="32"/>
        </w:rPr>
      </w:pPr>
      <w:r>
        <w:rPr>
          <w:rFonts w:ascii="仿宋_GB2312" w:eastAsia="仿宋_GB2312" w:hAnsi="仿宋_GB2312" w:cs="仿宋_GB2312" w:hint="eastAsia"/>
          <w:kern w:val="2"/>
          <w:sz w:val="32"/>
          <w:szCs w:val="32"/>
        </w:rPr>
        <w:t>2024年本单位部门预算资金82.68万元（基本支出</w:t>
      </w:r>
      <w:r w:rsidR="000111FF">
        <w:rPr>
          <w:rFonts w:ascii="仿宋_GB2312" w:eastAsia="仿宋_GB2312" w:hAnsi="仿宋_GB2312" w:cs="仿宋_GB2312" w:hint="eastAsia"/>
          <w:kern w:val="2"/>
          <w:sz w:val="32"/>
          <w:szCs w:val="32"/>
        </w:rPr>
        <w:t>82.68</w:t>
      </w:r>
      <w:r>
        <w:rPr>
          <w:rFonts w:ascii="仿宋_GB2312" w:eastAsia="仿宋_GB2312" w:hAnsi="仿宋_GB2312" w:cs="仿宋_GB2312" w:hint="eastAsia"/>
          <w:kern w:val="2"/>
          <w:sz w:val="32"/>
          <w:szCs w:val="32"/>
        </w:rPr>
        <w:t>万元，项目支出0万元），全年实际支出</w:t>
      </w:r>
      <w:r w:rsidR="000111FF">
        <w:rPr>
          <w:rFonts w:ascii="仿宋_GB2312" w:eastAsia="仿宋_GB2312" w:hAnsi="仿宋_GB2312" w:cs="仿宋_GB2312" w:hint="eastAsia"/>
          <w:kern w:val="2"/>
          <w:sz w:val="32"/>
          <w:szCs w:val="32"/>
        </w:rPr>
        <w:t>80.8</w:t>
      </w:r>
      <w:r>
        <w:rPr>
          <w:rFonts w:ascii="仿宋_GB2312" w:eastAsia="仿宋_GB2312" w:hAnsi="仿宋_GB2312" w:cs="仿宋_GB2312" w:hint="eastAsia"/>
          <w:kern w:val="2"/>
          <w:sz w:val="32"/>
          <w:szCs w:val="32"/>
        </w:rPr>
        <w:t>万元，其中基本支出</w:t>
      </w:r>
      <w:r w:rsidR="000111FF">
        <w:rPr>
          <w:rFonts w:ascii="仿宋_GB2312" w:eastAsia="仿宋_GB2312" w:hAnsi="仿宋_GB2312" w:cs="仿宋_GB2312" w:hint="eastAsia"/>
          <w:kern w:val="2"/>
          <w:sz w:val="32"/>
          <w:szCs w:val="32"/>
        </w:rPr>
        <w:t>80.8</w:t>
      </w:r>
      <w:r>
        <w:rPr>
          <w:rFonts w:ascii="仿宋_GB2312" w:eastAsia="仿宋_GB2312" w:hAnsi="仿宋_GB2312" w:cs="仿宋_GB2312" w:hint="eastAsia"/>
          <w:kern w:val="2"/>
          <w:sz w:val="32"/>
          <w:szCs w:val="32"/>
        </w:rPr>
        <w:t>万元，项目支出0万元，预算执行率</w:t>
      </w:r>
      <w:r w:rsidR="000111FF">
        <w:rPr>
          <w:rFonts w:ascii="仿宋_GB2312" w:eastAsia="仿宋_GB2312" w:hAnsi="仿宋_GB2312" w:cs="仿宋_GB2312" w:hint="eastAsia"/>
          <w:kern w:val="2"/>
          <w:sz w:val="32"/>
          <w:szCs w:val="32"/>
        </w:rPr>
        <w:t>97.73</w:t>
      </w:r>
      <w:r>
        <w:rPr>
          <w:rFonts w:ascii="仿宋_GB2312" w:eastAsia="仿宋_GB2312" w:hAnsi="仿宋_GB2312" w:cs="仿宋_GB2312" w:hint="eastAsia"/>
          <w:kern w:val="2"/>
          <w:sz w:val="32"/>
          <w:szCs w:val="32"/>
        </w:rPr>
        <w:t xml:space="preserve">%。　　　　　　</w:t>
      </w:r>
    </w:p>
    <w:p w:rsidR="00365B06" w:rsidRDefault="00353FA0">
      <w:pPr>
        <w:pStyle w:val="a7"/>
        <w:widowControl/>
        <w:spacing w:line="56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本单位2024年度基本支出</w:t>
      </w:r>
      <w:r w:rsidR="000111FF">
        <w:rPr>
          <w:rFonts w:ascii="仿宋_GB2312" w:eastAsia="仿宋_GB2312" w:hAnsi="仿宋_GB2312" w:cs="仿宋_GB2312" w:hint="eastAsia"/>
          <w:kern w:val="2"/>
          <w:sz w:val="32"/>
          <w:szCs w:val="32"/>
        </w:rPr>
        <w:t>80.8</w:t>
      </w:r>
      <w:r>
        <w:rPr>
          <w:rFonts w:ascii="仿宋_GB2312" w:eastAsia="仿宋_GB2312" w:hAnsi="仿宋_GB2312" w:cs="仿宋_GB2312" w:hint="eastAsia"/>
          <w:kern w:val="2"/>
          <w:sz w:val="32"/>
          <w:szCs w:val="32"/>
        </w:rPr>
        <w:t>万元，其中人员经费</w:t>
      </w:r>
      <w:r w:rsidR="000111FF">
        <w:rPr>
          <w:rFonts w:ascii="仿宋_GB2312" w:eastAsia="仿宋_GB2312" w:hAnsi="仿宋_GB2312" w:cs="仿宋_GB2312" w:hint="eastAsia"/>
          <w:kern w:val="2"/>
          <w:sz w:val="32"/>
          <w:szCs w:val="32"/>
        </w:rPr>
        <w:t>42.24</w:t>
      </w:r>
      <w:r>
        <w:rPr>
          <w:rFonts w:ascii="仿宋_GB2312" w:eastAsia="仿宋_GB2312" w:hAnsi="仿宋_GB2312" w:cs="仿宋_GB2312" w:hint="eastAsia"/>
          <w:kern w:val="2"/>
          <w:sz w:val="32"/>
          <w:szCs w:val="32"/>
        </w:rPr>
        <w:t>万元，公用经费</w:t>
      </w:r>
      <w:r w:rsidR="000111FF">
        <w:rPr>
          <w:rFonts w:ascii="仿宋_GB2312" w:eastAsia="仿宋_GB2312" w:hAnsi="仿宋_GB2312" w:cs="仿宋_GB2312" w:hint="eastAsia"/>
          <w:kern w:val="2"/>
          <w:sz w:val="32"/>
          <w:szCs w:val="32"/>
        </w:rPr>
        <w:t>38.56</w:t>
      </w:r>
      <w:r>
        <w:rPr>
          <w:rFonts w:ascii="仿宋_GB2312" w:eastAsia="仿宋_GB2312" w:hAnsi="仿宋_GB2312" w:cs="仿宋_GB2312" w:hint="eastAsia"/>
          <w:kern w:val="2"/>
          <w:sz w:val="32"/>
          <w:szCs w:val="32"/>
        </w:rPr>
        <w:t>万元。</w:t>
      </w:r>
    </w:p>
    <w:p w:rsidR="00365B06" w:rsidRDefault="00353FA0">
      <w:pPr>
        <w:pStyle w:val="a7"/>
        <w:widowControl/>
        <w:spacing w:line="560" w:lineRule="exact"/>
        <w:ind w:firstLine="640"/>
        <w:rPr>
          <w:rFonts w:eastAsia="仿宋_GB2312" w:cs="仿宋_GB2312"/>
          <w:sz w:val="32"/>
          <w:szCs w:val="32"/>
        </w:rPr>
      </w:pPr>
      <w:r>
        <w:rPr>
          <w:rFonts w:ascii="仿宋_GB2312" w:eastAsia="仿宋_GB2312" w:hAnsi="仿宋_GB2312" w:cs="仿宋_GB2312" w:hint="eastAsia"/>
          <w:kern w:val="2"/>
          <w:sz w:val="32"/>
          <w:szCs w:val="32"/>
        </w:rPr>
        <w:t>基本支出主要</w:t>
      </w:r>
      <w:r>
        <w:rPr>
          <w:rFonts w:eastAsia="仿宋_GB2312" w:cs="仿宋_GB2312" w:hint="eastAsia"/>
          <w:sz w:val="32"/>
          <w:szCs w:val="32"/>
        </w:rPr>
        <w:t>是指为保障单位机构正常运转、完成日常工作任务而发生的各项支出，包括用于基本工资、绩效工资、津贴补贴、社会保障缴费等人员经费，办公费、印刷费、水电费、差旅费、公务接待费、维修（护）费等日常公用经费，以及离退休费用等其他对个人和家庭的补助支出。</w:t>
      </w:r>
    </w:p>
    <w:p w:rsidR="00365B06" w:rsidRDefault="00353FA0">
      <w:pPr>
        <w:pStyle w:val="a7"/>
        <w:widowControl/>
        <w:spacing w:line="640" w:lineRule="exact"/>
        <w:ind w:firstLine="643"/>
        <w:rPr>
          <w:rFonts w:ascii="Times New Roman" w:eastAsia="楷体_GB2312" w:hAnsi="Times New Roman"/>
          <w:b/>
          <w:sz w:val="32"/>
          <w:szCs w:val="32"/>
        </w:rPr>
      </w:pPr>
      <w:r>
        <w:rPr>
          <w:rFonts w:ascii="Times New Roman" w:eastAsia="楷体_GB2312" w:hAnsi="Times New Roman"/>
          <w:b/>
          <w:sz w:val="32"/>
          <w:szCs w:val="32"/>
        </w:rPr>
        <w:t>（二）项目支出情况</w:t>
      </w:r>
    </w:p>
    <w:p w:rsidR="00365B06" w:rsidRDefault="00353FA0" w:rsidP="00353FA0">
      <w:pPr>
        <w:pStyle w:val="a5"/>
        <w:widowControl/>
        <w:spacing w:beforeAutospacing="0" w:afterAutospacing="0" w:line="22" w:lineRule="atLeast"/>
        <w:ind w:leftChars="200" w:left="560" w:firstLineChars="100" w:firstLine="320"/>
        <w:jc w:val="both"/>
        <w:textAlignment w:val="center"/>
        <w:rPr>
          <w:rFonts w:ascii="仿宋_GB2312" w:eastAsia="仿宋_GB2312" w:hAnsi="仿宋_GB2312" w:cs="仿宋_GB2312"/>
          <w:color w:val="000000"/>
          <w:kern w:val="2"/>
          <w:sz w:val="32"/>
          <w:szCs w:val="32"/>
          <w:shd w:val="clear" w:color="auto" w:fill="FFFFFF"/>
        </w:rPr>
      </w:pPr>
      <w:r>
        <w:rPr>
          <w:rFonts w:ascii="仿宋_GB2312" w:eastAsia="仿宋_GB2312" w:hAnsi="仿宋_GB2312" w:cs="仿宋_GB2312" w:hint="eastAsia"/>
          <w:color w:val="000000"/>
          <w:kern w:val="2"/>
          <w:sz w:val="32"/>
          <w:szCs w:val="32"/>
          <w:shd w:val="clear" w:color="auto" w:fill="FFFFFF"/>
        </w:rPr>
        <w:t>2024年本单位项目支出0万元。</w:t>
      </w:r>
    </w:p>
    <w:p w:rsidR="00365B06" w:rsidRDefault="00353FA0">
      <w:pPr>
        <w:pStyle w:val="a7"/>
        <w:widowControl/>
        <w:spacing w:line="640" w:lineRule="exact"/>
        <w:ind w:firstLine="640"/>
        <w:rPr>
          <w:rFonts w:ascii="Times New Roman" w:eastAsia="黑体" w:hAnsi="Times New Roman"/>
          <w:sz w:val="32"/>
          <w:szCs w:val="32"/>
        </w:rPr>
      </w:pPr>
      <w:r>
        <w:rPr>
          <w:rFonts w:ascii="Times New Roman" w:eastAsia="黑体" w:hAnsi="Times New Roman"/>
          <w:sz w:val="32"/>
          <w:szCs w:val="32"/>
        </w:rPr>
        <w:t>三、政府性基金预算支出情况</w:t>
      </w:r>
    </w:p>
    <w:p w:rsidR="00365B06" w:rsidRDefault="00353FA0">
      <w:pPr>
        <w:pStyle w:val="a7"/>
        <w:widowControl/>
        <w:spacing w:line="640" w:lineRule="exact"/>
        <w:ind w:firstLine="640"/>
        <w:rPr>
          <w:rFonts w:ascii="仿宋_GB2312" w:eastAsia="仿宋_GB2312" w:hAnsi="仿宋_GB2312" w:cs="仿宋_GB2312"/>
          <w:color w:val="000000"/>
          <w:kern w:val="2"/>
          <w:sz w:val="32"/>
          <w:szCs w:val="32"/>
          <w:shd w:val="clear" w:color="auto" w:fill="FFFFFF"/>
        </w:rPr>
      </w:pPr>
      <w:r>
        <w:rPr>
          <w:rFonts w:ascii="仿宋_GB2312" w:eastAsia="仿宋_GB2312" w:hAnsi="仿宋_GB2312" w:cs="仿宋_GB2312" w:hint="eastAsia"/>
          <w:color w:val="000000"/>
          <w:kern w:val="2"/>
          <w:sz w:val="32"/>
          <w:szCs w:val="32"/>
          <w:shd w:val="clear" w:color="auto" w:fill="FFFFFF"/>
        </w:rPr>
        <w:t xml:space="preserve"> 2024年本单位无此项支出。</w:t>
      </w:r>
    </w:p>
    <w:p w:rsidR="00365B06" w:rsidRDefault="00353FA0">
      <w:pPr>
        <w:pStyle w:val="a7"/>
        <w:widowControl/>
        <w:numPr>
          <w:ilvl w:val="0"/>
          <w:numId w:val="3"/>
        </w:numPr>
        <w:spacing w:line="640" w:lineRule="exact"/>
        <w:ind w:firstLine="640"/>
        <w:rPr>
          <w:rFonts w:ascii="Times New Roman" w:eastAsia="黑体" w:hAnsi="Times New Roman"/>
          <w:sz w:val="32"/>
          <w:szCs w:val="32"/>
        </w:rPr>
      </w:pPr>
      <w:r>
        <w:rPr>
          <w:rFonts w:ascii="Times New Roman" w:eastAsia="黑体" w:hAnsi="Times New Roman"/>
          <w:sz w:val="32"/>
          <w:szCs w:val="32"/>
        </w:rPr>
        <w:t>国有资本经营预算支出情况</w:t>
      </w:r>
    </w:p>
    <w:p w:rsidR="00365B06" w:rsidRDefault="00353FA0">
      <w:pPr>
        <w:pStyle w:val="a7"/>
        <w:widowControl/>
        <w:spacing w:line="640" w:lineRule="exact"/>
        <w:ind w:firstLine="640"/>
        <w:rPr>
          <w:rFonts w:ascii="Times New Roman" w:eastAsia="黑体" w:hAnsi="Times New Roman"/>
          <w:sz w:val="32"/>
          <w:szCs w:val="32"/>
        </w:rPr>
      </w:pPr>
      <w:r>
        <w:rPr>
          <w:rFonts w:ascii="Times New Roman" w:eastAsia="黑体" w:hAnsi="Times New Roman" w:hint="eastAsia"/>
          <w:sz w:val="32"/>
          <w:szCs w:val="32"/>
        </w:rPr>
        <w:t xml:space="preserve"> </w:t>
      </w:r>
      <w:r>
        <w:rPr>
          <w:rFonts w:ascii="仿宋_GB2312" w:eastAsia="仿宋_GB2312" w:hAnsi="仿宋_GB2312" w:cs="仿宋_GB2312" w:hint="eastAsia"/>
          <w:color w:val="000000"/>
          <w:kern w:val="2"/>
          <w:sz w:val="32"/>
          <w:szCs w:val="32"/>
          <w:shd w:val="clear" w:color="auto" w:fill="FFFFFF"/>
        </w:rPr>
        <w:t>2024年本单位无此项支出。</w:t>
      </w:r>
    </w:p>
    <w:p w:rsidR="00365B06" w:rsidRDefault="00353FA0">
      <w:pPr>
        <w:pStyle w:val="a7"/>
        <w:widowControl/>
        <w:numPr>
          <w:ilvl w:val="0"/>
          <w:numId w:val="3"/>
        </w:numPr>
        <w:spacing w:line="640" w:lineRule="exact"/>
        <w:ind w:firstLine="640"/>
        <w:rPr>
          <w:rFonts w:ascii="Times New Roman" w:eastAsia="黑体" w:hAnsi="Times New Roman"/>
          <w:sz w:val="32"/>
          <w:szCs w:val="32"/>
        </w:rPr>
      </w:pPr>
      <w:r>
        <w:rPr>
          <w:rFonts w:ascii="Times New Roman" w:eastAsia="黑体" w:hAnsi="Times New Roman"/>
          <w:sz w:val="32"/>
          <w:szCs w:val="32"/>
        </w:rPr>
        <w:t>社会保险基金预算支出情况</w:t>
      </w:r>
    </w:p>
    <w:p w:rsidR="00365B06" w:rsidRDefault="00353FA0">
      <w:pPr>
        <w:pStyle w:val="a7"/>
        <w:widowControl/>
        <w:spacing w:line="640" w:lineRule="exact"/>
        <w:ind w:firstLine="640"/>
        <w:rPr>
          <w:rFonts w:ascii="Times New Roman" w:eastAsia="黑体" w:hAnsi="Times New Roman"/>
          <w:sz w:val="32"/>
          <w:szCs w:val="32"/>
        </w:rPr>
      </w:pPr>
      <w:r>
        <w:rPr>
          <w:rFonts w:ascii="仿宋_GB2312" w:eastAsia="仿宋_GB2312" w:hAnsi="仿宋_GB2312" w:cs="仿宋_GB2312" w:hint="eastAsia"/>
          <w:color w:val="000000"/>
          <w:kern w:val="2"/>
          <w:sz w:val="32"/>
          <w:szCs w:val="32"/>
          <w:shd w:val="clear" w:color="auto" w:fill="FFFFFF"/>
        </w:rPr>
        <w:t xml:space="preserve"> 2024年本单位无此项支出。</w:t>
      </w:r>
    </w:p>
    <w:p w:rsidR="00365B06" w:rsidRDefault="00353FA0">
      <w:pPr>
        <w:widowControl/>
        <w:spacing w:line="640" w:lineRule="exact"/>
        <w:ind w:firstLineChars="200" w:firstLine="640"/>
        <w:rPr>
          <w:rFonts w:ascii="Times New Roman" w:eastAsia="黑体" w:hAnsi="Times New Roman"/>
          <w:sz w:val="32"/>
          <w:szCs w:val="32"/>
        </w:rPr>
      </w:pPr>
      <w:r>
        <w:rPr>
          <w:rFonts w:ascii="Times New Roman" w:eastAsia="黑体" w:hAnsi="Times New Roman"/>
          <w:sz w:val="32"/>
          <w:szCs w:val="32"/>
        </w:rPr>
        <w:t>六、部门整体支出绩效情况</w:t>
      </w:r>
    </w:p>
    <w:p w:rsidR="00365B06" w:rsidRDefault="00353FA0">
      <w:pPr>
        <w:pStyle w:val="a7"/>
        <w:widowControl/>
        <w:spacing w:line="560" w:lineRule="exact"/>
        <w:ind w:firstLineChars="0" w:firstLine="0"/>
        <w:rPr>
          <w:rFonts w:ascii="仿宋_GB2312" w:eastAsia="仿宋_GB2312" w:hAnsi="仿宋_GB2312" w:cs="仿宋_GB2312"/>
          <w:kern w:val="2"/>
          <w:sz w:val="32"/>
          <w:szCs w:val="32"/>
        </w:rPr>
      </w:pPr>
      <w:r>
        <w:rPr>
          <w:rFonts w:ascii="Times New Roman" w:eastAsia="黑体" w:hAnsi="Times New Roman" w:hint="eastAsia"/>
          <w:sz w:val="32"/>
          <w:szCs w:val="32"/>
        </w:rPr>
        <w:t xml:space="preserve">　</w:t>
      </w:r>
      <w:r>
        <w:rPr>
          <w:rFonts w:ascii="仿宋_GB2312" w:eastAsia="仿宋_GB2312" w:hAnsi="仿宋_GB2312" w:cs="仿宋_GB2312"/>
          <w:kern w:val="2"/>
          <w:sz w:val="32"/>
          <w:szCs w:val="32"/>
        </w:rPr>
        <w:t>2024年，</w:t>
      </w:r>
      <w:r>
        <w:rPr>
          <w:rFonts w:ascii="仿宋_GB2312" w:eastAsia="仿宋_GB2312" w:hAnsi="仿宋_GB2312" w:cs="仿宋_GB2312" w:hint="eastAsia"/>
          <w:kern w:val="2"/>
          <w:sz w:val="32"/>
          <w:szCs w:val="32"/>
        </w:rPr>
        <w:t>本单位</w:t>
      </w:r>
      <w:r>
        <w:rPr>
          <w:rFonts w:ascii="仿宋_GB2312" w:eastAsia="仿宋_GB2312" w:hAnsi="仿宋_GB2312" w:cs="仿宋_GB2312"/>
          <w:kern w:val="2"/>
          <w:sz w:val="32"/>
          <w:szCs w:val="32"/>
        </w:rPr>
        <w:t>积极履职，资金管理规范，</w:t>
      </w:r>
      <w:r>
        <w:rPr>
          <w:rFonts w:ascii="仿宋_GB2312" w:eastAsia="仿宋_GB2312" w:hAnsi="仿宋_GB2312" w:cs="仿宋_GB2312" w:hint="eastAsia"/>
          <w:kern w:val="2"/>
          <w:sz w:val="32"/>
          <w:szCs w:val="32"/>
        </w:rPr>
        <w:t>资产</w:t>
      </w:r>
      <w:r>
        <w:rPr>
          <w:rFonts w:ascii="仿宋_GB2312" w:eastAsia="仿宋_GB2312" w:hAnsi="仿宋_GB2312" w:cs="仿宋_GB2312"/>
          <w:kern w:val="2"/>
          <w:sz w:val="32"/>
          <w:szCs w:val="32"/>
        </w:rPr>
        <w:t>管理到位，政策执行有力，较好地完成了年度工作目标，有效发挥了财政资金的使用效率。在人员经费支出上</w:t>
      </w:r>
      <w:r>
        <w:rPr>
          <w:rFonts w:ascii="仿宋_GB2312" w:eastAsia="仿宋_GB2312" w:hAnsi="仿宋_GB2312" w:cs="仿宋_GB2312" w:hint="eastAsia"/>
          <w:kern w:val="2"/>
          <w:sz w:val="32"/>
          <w:szCs w:val="32"/>
        </w:rPr>
        <w:t>，</w:t>
      </w:r>
      <w:r>
        <w:rPr>
          <w:rFonts w:ascii="仿宋_GB2312" w:eastAsia="仿宋_GB2312" w:hAnsi="仿宋_GB2312" w:cs="仿宋_GB2312"/>
          <w:kern w:val="2"/>
          <w:sz w:val="32"/>
          <w:szCs w:val="32"/>
        </w:rPr>
        <w:t>严格执行上级的各项制度;在</w:t>
      </w:r>
      <w:r>
        <w:rPr>
          <w:rFonts w:ascii="仿宋_GB2312" w:eastAsia="仿宋_GB2312" w:hAnsi="仿宋_GB2312" w:cs="仿宋_GB2312" w:hint="eastAsia"/>
          <w:kern w:val="2"/>
          <w:sz w:val="32"/>
          <w:szCs w:val="32"/>
        </w:rPr>
        <w:t>公用</w:t>
      </w:r>
      <w:r>
        <w:rPr>
          <w:rFonts w:ascii="仿宋_GB2312" w:eastAsia="仿宋_GB2312" w:hAnsi="仿宋_GB2312" w:cs="仿宋_GB2312"/>
          <w:kern w:val="2"/>
          <w:sz w:val="32"/>
          <w:szCs w:val="32"/>
        </w:rPr>
        <w:t>经费使用上，</w:t>
      </w:r>
      <w:r>
        <w:rPr>
          <w:rFonts w:ascii="仿宋_GB2312" w:eastAsia="仿宋_GB2312" w:hAnsi="仿宋_GB2312" w:cs="仿宋_GB2312" w:hint="eastAsia"/>
          <w:kern w:val="2"/>
          <w:sz w:val="32"/>
          <w:szCs w:val="32"/>
        </w:rPr>
        <w:t>严格执行预算</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在</w:t>
      </w:r>
      <w:r>
        <w:rPr>
          <w:rFonts w:ascii="仿宋_GB2312" w:eastAsia="仿宋_GB2312" w:hAnsi="仿宋_GB2312" w:cs="仿宋_GB2312"/>
          <w:kern w:val="2"/>
          <w:sz w:val="32"/>
          <w:szCs w:val="32"/>
        </w:rPr>
        <w:t>“三公”经费</w:t>
      </w:r>
      <w:r>
        <w:rPr>
          <w:rFonts w:ascii="仿宋_GB2312" w:eastAsia="仿宋_GB2312" w:hAnsi="仿宋_GB2312" w:cs="仿宋_GB2312" w:hint="eastAsia"/>
          <w:kern w:val="2"/>
          <w:sz w:val="32"/>
          <w:szCs w:val="32"/>
        </w:rPr>
        <w:t>开支上，</w:t>
      </w:r>
      <w:r>
        <w:rPr>
          <w:rFonts w:ascii="仿宋_GB2312" w:eastAsia="仿宋_GB2312" w:hAnsi="仿宋_GB2312" w:cs="仿宋_GB2312"/>
          <w:kern w:val="2"/>
          <w:sz w:val="32"/>
          <w:szCs w:val="32"/>
        </w:rPr>
        <w:t>厉行节约，从严控制</w:t>
      </w:r>
      <w:r>
        <w:rPr>
          <w:rFonts w:ascii="仿宋_GB2312" w:eastAsia="仿宋_GB2312" w:hAnsi="仿宋_GB2312" w:cs="仿宋_GB2312" w:hint="eastAsia"/>
          <w:kern w:val="2"/>
          <w:sz w:val="32"/>
          <w:szCs w:val="32"/>
        </w:rPr>
        <w:t>。</w:t>
      </w:r>
      <w:r>
        <w:rPr>
          <w:rFonts w:ascii="仿宋_GB2312" w:eastAsia="仿宋_GB2312" w:hAnsi="仿宋_GB2312" w:cs="仿宋_GB2312"/>
          <w:kern w:val="2"/>
          <w:sz w:val="32"/>
          <w:szCs w:val="32"/>
        </w:rPr>
        <w:t xml:space="preserve">根据《部门整体支出绩效自评表》自评得分 </w:t>
      </w:r>
      <w:r w:rsidR="009C0953">
        <w:rPr>
          <w:rFonts w:ascii="仿宋_GB2312" w:eastAsia="仿宋_GB2312" w:hAnsi="仿宋_GB2312" w:cs="仿宋_GB2312" w:hint="eastAsia"/>
          <w:kern w:val="2"/>
          <w:sz w:val="32"/>
          <w:szCs w:val="32"/>
        </w:rPr>
        <w:t>97.77</w:t>
      </w:r>
      <w:r>
        <w:rPr>
          <w:rFonts w:ascii="仿宋_GB2312" w:eastAsia="仿宋_GB2312" w:hAnsi="仿宋_GB2312" w:cs="仿宋_GB2312"/>
          <w:kern w:val="2"/>
          <w:sz w:val="32"/>
          <w:szCs w:val="32"/>
        </w:rPr>
        <w:t>分(详见附表2)，部门整体支出绩效为“优”</w:t>
      </w:r>
    </w:p>
    <w:p w:rsidR="00365B06" w:rsidRDefault="00353FA0">
      <w:pPr>
        <w:widowControl/>
        <w:spacing w:line="640" w:lineRule="exact"/>
        <w:ind w:firstLineChars="200" w:firstLine="643"/>
        <w:rPr>
          <w:rFonts w:ascii="Times New Roman" w:eastAsia="仿宋_GB2312" w:hAnsi="Times New Roman"/>
          <w:b/>
          <w:bCs/>
          <w:color w:val="000000"/>
          <w:sz w:val="32"/>
          <w:szCs w:val="32"/>
        </w:rPr>
      </w:pPr>
      <w:r>
        <w:rPr>
          <w:rFonts w:ascii="Times New Roman" w:eastAsia="仿宋_GB2312" w:hAnsi="Times New Roman"/>
          <w:b/>
          <w:bCs/>
          <w:color w:val="000000"/>
          <w:sz w:val="32"/>
          <w:szCs w:val="32"/>
        </w:rPr>
        <w:lastRenderedPageBreak/>
        <w:t>（一）</w:t>
      </w:r>
      <w:r>
        <w:rPr>
          <w:rFonts w:ascii="Times New Roman" w:eastAsia="仿宋_GB2312" w:hAnsi="Times New Roman"/>
          <w:b/>
          <w:bCs/>
          <w:color w:val="000000"/>
          <w:sz w:val="32"/>
          <w:szCs w:val="32"/>
        </w:rPr>
        <w:t>2024</w:t>
      </w:r>
      <w:r>
        <w:rPr>
          <w:rFonts w:ascii="Times New Roman" w:eastAsia="仿宋_GB2312" w:hAnsi="Times New Roman"/>
          <w:b/>
          <w:bCs/>
          <w:color w:val="000000"/>
          <w:sz w:val="32"/>
          <w:szCs w:val="32"/>
        </w:rPr>
        <w:t>年部门整体支出绩效目标设置及完成情况</w:t>
      </w:r>
    </w:p>
    <w:p w:rsidR="000111FF" w:rsidRPr="000111FF" w:rsidRDefault="000111FF" w:rsidP="000111FF">
      <w:pPr>
        <w:widowControl/>
        <w:shd w:val="clear" w:color="auto" w:fill="FFFFFF"/>
        <w:spacing w:before="150" w:after="150"/>
        <w:jc w:val="left"/>
        <w:rPr>
          <w:rFonts w:ascii="仿宋_GB2312" w:eastAsia="仿宋_GB2312" w:hAnsi="仿宋_GB2312" w:cs="仿宋_GB2312"/>
          <w:kern w:val="2"/>
          <w:sz w:val="32"/>
          <w:szCs w:val="32"/>
        </w:rPr>
      </w:pPr>
      <w:r w:rsidRPr="000111FF">
        <w:rPr>
          <w:rFonts w:ascii="仿宋_GB2312" w:eastAsia="仿宋_GB2312" w:hAnsi="仿宋_GB2312" w:cs="仿宋_GB2312"/>
          <w:kern w:val="2"/>
          <w:sz w:val="32"/>
          <w:szCs w:val="32"/>
        </w:rPr>
        <w:t>（一）紧扣“为党育人”主线，在思想引领中把牢青春航向。通过专题学习等形式举办5场学习活动，组织“青年讲师团”开展宣讲，引领全区各级团干部和广大青年深入学习党的二十届三中全会精神等政治思想理论。召开“五四”表彰大会，评选优秀青年，激励君山团员青年汲取榜样精神力量。开展“青年话清廉”主题演讲比赛，引导全区年轻干部运用清廉擦亮青春底色。拓展校外实践教育基地，组织“弘扬雷锋精神，争做新时代好少年”、红领巾讲解员比赛、烈士纪念日公祭等各类教育实践活动，今年我区一名红领巾讲解员在第十五届湖南省少儿才艺大赛中荣获红领巾讲解员项目少儿三组金奖。</w:t>
      </w:r>
    </w:p>
    <w:p w:rsidR="000111FF" w:rsidRPr="000111FF" w:rsidRDefault="000111FF" w:rsidP="000111FF">
      <w:pPr>
        <w:widowControl/>
        <w:shd w:val="clear" w:color="auto" w:fill="FFFFFF"/>
        <w:spacing w:before="150" w:after="150"/>
        <w:jc w:val="left"/>
        <w:rPr>
          <w:rFonts w:ascii="仿宋_GB2312" w:eastAsia="仿宋_GB2312" w:hAnsi="仿宋_GB2312" w:cs="仿宋_GB2312"/>
          <w:kern w:val="2"/>
          <w:sz w:val="32"/>
          <w:szCs w:val="32"/>
        </w:rPr>
      </w:pPr>
      <w:r w:rsidRPr="000111FF">
        <w:rPr>
          <w:rFonts w:ascii="仿宋_GB2312" w:eastAsia="仿宋_GB2312" w:hAnsi="仿宋_GB2312" w:cs="仿宋_GB2312"/>
          <w:kern w:val="2"/>
          <w:sz w:val="32"/>
          <w:szCs w:val="32"/>
        </w:rPr>
        <w:t>（二）聚焦“青春建功”核心，在服务大局中淬炼青春担当。今年以来，团中央书记处第一书记阿东同志来</w:t>
      </w:r>
      <w:proofErr w:type="gramStart"/>
      <w:r w:rsidRPr="000111FF">
        <w:rPr>
          <w:rFonts w:ascii="仿宋_GB2312" w:eastAsia="仿宋_GB2312" w:hAnsi="仿宋_GB2312" w:cs="仿宋_GB2312"/>
          <w:kern w:val="2"/>
          <w:sz w:val="32"/>
          <w:szCs w:val="32"/>
        </w:rPr>
        <w:t>君指导</w:t>
      </w:r>
      <w:proofErr w:type="gramEnd"/>
      <w:r w:rsidRPr="000111FF">
        <w:rPr>
          <w:rFonts w:ascii="仿宋_GB2312" w:eastAsia="仿宋_GB2312" w:hAnsi="仿宋_GB2312" w:cs="仿宋_GB2312"/>
          <w:kern w:val="2"/>
          <w:sz w:val="32"/>
          <w:szCs w:val="32"/>
        </w:rPr>
        <w:t>共青团工作1次，团中央社会联络部部长黄大伟一行专题调研生态环保和河小青工作1次，均充分肯定我区共青团工作。一是在助力发展中彰</w:t>
      </w:r>
      <w:proofErr w:type="gramStart"/>
      <w:r w:rsidRPr="000111FF">
        <w:rPr>
          <w:rFonts w:ascii="仿宋_GB2312" w:eastAsia="仿宋_GB2312" w:hAnsi="仿宋_GB2312" w:cs="仿宋_GB2312"/>
          <w:kern w:val="2"/>
          <w:sz w:val="32"/>
          <w:szCs w:val="32"/>
        </w:rPr>
        <w:t>显青年</w:t>
      </w:r>
      <w:proofErr w:type="gramEnd"/>
      <w:r w:rsidRPr="000111FF">
        <w:rPr>
          <w:rFonts w:ascii="仿宋_GB2312" w:eastAsia="仿宋_GB2312" w:hAnsi="仿宋_GB2312" w:cs="仿宋_GB2312"/>
          <w:kern w:val="2"/>
          <w:sz w:val="32"/>
          <w:szCs w:val="32"/>
        </w:rPr>
        <w:t>担当。开展“迎老乡、回故乡、建家乡”暨回乡创业活动和“返家乡”大学生社会实践活动，组织君山籍在校大学生现场观摩君山区经济社会发展成果，协助市青企协换届，组织君山青年企业家们交流创业感悟，吸引君山籍大学生、返乡乡友助力家乡发展。二是在防汛救灾中贡献青春力量。在今年的防汛抗灾工作中，团区委积极整</w:t>
      </w:r>
      <w:r w:rsidRPr="000111FF">
        <w:rPr>
          <w:rFonts w:ascii="仿宋_GB2312" w:eastAsia="仿宋_GB2312" w:hAnsi="仿宋_GB2312" w:cs="仿宋_GB2312"/>
          <w:kern w:val="2"/>
          <w:sz w:val="32"/>
          <w:szCs w:val="32"/>
        </w:rPr>
        <w:lastRenderedPageBreak/>
        <w:t>合资源，第一时间募集到价值四万余元的物资送到防汛前线，组织</w:t>
      </w:r>
      <w:proofErr w:type="gramStart"/>
      <w:r w:rsidRPr="000111FF">
        <w:rPr>
          <w:rFonts w:ascii="仿宋_GB2312" w:eastAsia="仿宋_GB2312" w:hAnsi="仿宋_GB2312" w:cs="仿宋_GB2312"/>
          <w:kern w:val="2"/>
          <w:sz w:val="32"/>
          <w:szCs w:val="32"/>
        </w:rPr>
        <w:t>50余名君</w:t>
      </w:r>
      <w:proofErr w:type="gramEnd"/>
      <w:r w:rsidRPr="000111FF">
        <w:rPr>
          <w:rFonts w:ascii="仿宋_GB2312" w:eastAsia="仿宋_GB2312" w:hAnsi="仿宋_GB2312" w:cs="仿宋_GB2312"/>
          <w:kern w:val="2"/>
          <w:sz w:val="32"/>
          <w:szCs w:val="32"/>
        </w:rPr>
        <w:t>山籍大学生加入志愿者防汛队伍，勇挑重担。三是在志愿服务中展现青春风采。全年共组织参与了君山区2024年“春风行动”现场招聘会、长江流域“守护好一江碧水”青少年生态环保联合行动暨2024年湖南省“美丽中国·青春行动”、岳阳马拉松赛事、“河小青”净滩、“6.26国际禁毒日”、2024年中国户外健身休闲大会暨岳阳市职工</w:t>
      </w:r>
      <w:proofErr w:type="gramStart"/>
      <w:r w:rsidRPr="000111FF">
        <w:rPr>
          <w:rFonts w:ascii="仿宋_GB2312" w:eastAsia="仿宋_GB2312" w:hAnsi="仿宋_GB2312" w:cs="仿宋_GB2312"/>
          <w:kern w:val="2"/>
          <w:sz w:val="32"/>
          <w:szCs w:val="32"/>
        </w:rPr>
        <w:t>健康跑</w:t>
      </w:r>
      <w:proofErr w:type="gramEnd"/>
      <w:r w:rsidRPr="000111FF">
        <w:rPr>
          <w:rFonts w:ascii="仿宋_GB2312" w:eastAsia="仿宋_GB2312" w:hAnsi="仿宋_GB2312" w:cs="仿宋_GB2312"/>
          <w:kern w:val="2"/>
          <w:sz w:val="32"/>
          <w:szCs w:val="32"/>
        </w:rPr>
        <w:t>等大型志愿活动20余场，每场活动均取得省市区委领导及活动主办方的认可及点赞。 （三）把握“服务青年重点”，在广阔天地中放飞青春梦想。一是用心服务成长成才。聚焦青年婚恋交友难题，联合岳阳楼区、岳阳县、云溪区、岳阳市直开展“相约星期六”青年人才联谊交友活动。深化区域团建共建工作，推进石首、华容、南县、君山、安乡五地“洞庭湖青年先行区建设”。二是用</w:t>
      </w:r>
      <w:proofErr w:type="gramStart"/>
      <w:r w:rsidRPr="000111FF">
        <w:rPr>
          <w:rFonts w:ascii="仿宋_GB2312" w:eastAsia="仿宋_GB2312" w:hAnsi="仿宋_GB2312" w:cs="仿宋_GB2312"/>
          <w:kern w:val="2"/>
          <w:sz w:val="32"/>
          <w:szCs w:val="32"/>
        </w:rPr>
        <w:t>情解决</w:t>
      </w:r>
      <w:proofErr w:type="gramEnd"/>
      <w:r w:rsidRPr="000111FF">
        <w:rPr>
          <w:rFonts w:ascii="仿宋_GB2312" w:eastAsia="仿宋_GB2312" w:hAnsi="仿宋_GB2312" w:cs="仿宋_GB2312"/>
          <w:kern w:val="2"/>
          <w:sz w:val="32"/>
          <w:szCs w:val="32"/>
        </w:rPr>
        <w:t>急难愁盼。聚焦困境青少年群体帮扶，深入实施“一元捐”“芙蓉学子”“湘窖”“关爱你我他（她）情暖千万家”等公益项目，为40多名困难青少年送去慰问金和助学金共计6万余元。联合长沙市望城区少工委实施 “青锋计划”，开展全区青少年微心愿活动，帮助710名青少年圆梦。三是</w:t>
      </w:r>
      <w:proofErr w:type="gramStart"/>
      <w:r w:rsidRPr="000111FF">
        <w:rPr>
          <w:rFonts w:ascii="仿宋_GB2312" w:eastAsia="仿宋_GB2312" w:hAnsi="仿宋_GB2312" w:cs="仿宋_GB2312"/>
          <w:kern w:val="2"/>
          <w:sz w:val="32"/>
          <w:szCs w:val="32"/>
        </w:rPr>
        <w:t>用力维护</w:t>
      </w:r>
      <w:proofErr w:type="gramEnd"/>
      <w:r w:rsidRPr="000111FF">
        <w:rPr>
          <w:rFonts w:ascii="仿宋_GB2312" w:eastAsia="仿宋_GB2312" w:hAnsi="仿宋_GB2312" w:cs="仿宋_GB2312"/>
          <w:kern w:val="2"/>
          <w:sz w:val="32"/>
          <w:szCs w:val="32"/>
        </w:rPr>
        <w:t>合法权益。组织开展暑期爱心托管班、七彩假期、安全自护、中高考减压等主题服务活动6场，服务青少年超过1万人次。</w:t>
      </w:r>
      <w:r w:rsidRPr="000111FF">
        <w:rPr>
          <w:rFonts w:ascii="仿宋_GB2312" w:eastAsia="仿宋_GB2312" w:hAnsi="仿宋_GB2312" w:cs="仿宋_GB2312"/>
          <w:kern w:val="2"/>
          <w:sz w:val="32"/>
          <w:szCs w:val="32"/>
        </w:rPr>
        <w:lastRenderedPageBreak/>
        <w:t>组织全区基层团组织、各学校团组织和少先队结合团日、队日活动开展防溺水宣讲30余场次。</w:t>
      </w:r>
    </w:p>
    <w:p w:rsidR="00365B06" w:rsidRDefault="00353FA0">
      <w:pPr>
        <w:ind w:firstLineChars="200" w:firstLine="643"/>
        <w:rPr>
          <w:rFonts w:ascii="微软雅黑" w:eastAsia="微软雅黑" w:hAnsi="微软雅黑" w:cs="微软雅黑"/>
          <w:color w:val="333333"/>
          <w:sz w:val="24"/>
        </w:rPr>
      </w:pPr>
      <w:r>
        <w:rPr>
          <w:rFonts w:ascii="楷体_GB2312" w:eastAsia="楷体_GB2312" w:hAnsi="微软雅黑" w:cs="楷体_GB2312" w:hint="eastAsia"/>
          <w:b/>
          <w:bCs/>
          <w:color w:val="000000"/>
          <w:sz w:val="32"/>
          <w:szCs w:val="32"/>
          <w:shd w:val="clear" w:color="auto" w:fill="FFFFFF"/>
          <w:lang/>
        </w:rPr>
        <w:t>（二）</w:t>
      </w:r>
      <w:r>
        <w:rPr>
          <w:rFonts w:ascii="楷体_GB2312" w:eastAsia="楷体_GB2312" w:hAnsi="微软雅黑" w:cs="楷体_GB2312"/>
          <w:b/>
          <w:bCs/>
          <w:color w:val="000000"/>
          <w:sz w:val="32"/>
          <w:szCs w:val="32"/>
          <w:shd w:val="clear" w:color="auto" w:fill="FFFFFF"/>
          <w:lang/>
        </w:rPr>
        <w:t>单位资产管理和整体业务实施效果情况</w:t>
      </w:r>
    </w:p>
    <w:p w:rsidR="00365B06" w:rsidRDefault="00353FA0">
      <w:pPr>
        <w:ind w:firstLineChars="200" w:firstLine="600"/>
        <w:rPr>
          <w:sz w:val="30"/>
          <w:szCs w:val="30"/>
        </w:rPr>
      </w:pPr>
      <w:r>
        <w:rPr>
          <w:sz w:val="30"/>
          <w:szCs w:val="30"/>
        </w:rPr>
        <w:t>本单位资产设有专</w:t>
      </w:r>
      <w:r>
        <w:rPr>
          <w:rFonts w:hint="eastAsia"/>
          <w:sz w:val="30"/>
          <w:szCs w:val="30"/>
        </w:rPr>
        <w:t>门人员将单位所有资产全部录入固定资产信息系统</w:t>
      </w:r>
      <w:r>
        <w:rPr>
          <w:sz w:val="30"/>
          <w:szCs w:val="30"/>
        </w:rPr>
        <w:t>,</w:t>
      </w:r>
      <w:r>
        <w:rPr>
          <w:rFonts w:hint="eastAsia"/>
          <w:sz w:val="30"/>
          <w:szCs w:val="30"/>
        </w:rPr>
        <w:t>实行动态管理。资产配置严格按照规定程序报批，坚持资产配备与单位履行职能需要相适应，坚持资产管理与预算管理相结合。资产利用率高，资产配置基本合理，人均占有办公室使用面积、人均占有通用设备数量等指标均在正常范围。科学管理和使用国有资产</w:t>
      </w:r>
      <w:r>
        <w:rPr>
          <w:sz w:val="30"/>
          <w:szCs w:val="30"/>
        </w:rPr>
        <w:t>,</w:t>
      </w:r>
      <w:r>
        <w:rPr>
          <w:rFonts w:hint="eastAsia"/>
          <w:sz w:val="30"/>
          <w:szCs w:val="30"/>
        </w:rPr>
        <w:t>保障单位正常运转的同时，合理配备并有效使用资产，充分发挥了国有资产的使用效益和社会效益。</w:t>
      </w:r>
    </w:p>
    <w:p w:rsidR="00365B06" w:rsidRDefault="00365B06">
      <w:pPr>
        <w:rPr>
          <w:b/>
          <w:bCs/>
          <w:sz w:val="30"/>
          <w:szCs w:val="30"/>
        </w:rPr>
      </w:pPr>
    </w:p>
    <w:p w:rsidR="00365B06" w:rsidRDefault="00365B06">
      <w:pPr>
        <w:rPr>
          <w:sz w:val="30"/>
          <w:szCs w:val="30"/>
        </w:rPr>
      </w:pPr>
    </w:p>
    <w:p w:rsidR="00365B06" w:rsidRDefault="00365B06">
      <w:pPr>
        <w:rPr>
          <w:b/>
          <w:bCs/>
          <w:sz w:val="30"/>
          <w:szCs w:val="30"/>
        </w:rPr>
      </w:pPr>
    </w:p>
    <w:p w:rsidR="00365B06" w:rsidRDefault="00365B06">
      <w:pPr>
        <w:pStyle w:val="a7"/>
        <w:widowControl/>
        <w:spacing w:line="560" w:lineRule="exact"/>
        <w:ind w:firstLineChars="0" w:firstLine="0"/>
        <w:rPr>
          <w:rFonts w:ascii="仿宋_GB2312" w:eastAsia="仿宋_GB2312" w:hAnsi="仿宋_GB2312" w:cs="仿宋_GB2312"/>
          <w:kern w:val="2"/>
          <w:sz w:val="32"/>
          <w:szCs w:val="32"/>
        </w:rPr>
      </w:pPr>
    </w:p>
    <w:p w:rsidR="00365B06" w:rsidRDefault="00353FA0">
      <w:pPr>
        <w:pStyle w:val="a7"/>
        <w:widowControl/>
        <w:spacing w:line="640" w:lineRule="exact"/>
        <w:ind w:firstLine="640"/>
        <w:rPr>
          <w:rFonts w:ascii="Times New Roman" w:eastAsia="黑体" w:hAnsi="Times New Roman"/>
          <w:sz w:val="32"/>
          <w:szCs w:val="32"/>
        </w:rPr>
      </w:pPr>
      <w:r>
        <w:rPr>
          <w:rFonts w:ascii="Times New Roman" w:eastAsia="黑体" w:hAnsi="Times New Roman"/>
          <w:sz w:val="32"/>
          <w:szCs w:val="32"/>
        </w:rPr>
        <w:t>七、存在的问题及原因分析</w:t>
      </w:r>
    </w:p>
    <w:p w:rsidR="00365B06" w:rsidRDefault="00353FA0">
      <w:pPr>
        <w:widowControl/>
        <w:shd w:val="clear" w:color="auto" w:fill="FFFFFF"/>
        <w:spacing w:line="560" w:lineRule="exact"/>
        <w:ind w:firstLineChars="200" w:firstLine="640"/>
        <w:rPr>
          <w:rFonts w:ascii="Times New Roman" w:eastAsia="仿宋_GB2312" w:hAnsi="Times New Roman"/>
          <w:sz w:val="32"/>
          <w:szCs w:val="32"/>
        </w:rPr>
      </w:pPr>
      <w:r>
        <w:rPr>
          <w:rFonts w:ascii="仿宋_GB2312" w:eastAsia="仿宋_GB2312" w:hAnsi="仿宋_GB2312" w:cs="仿宋_GB2312" w:hint="eastAsia"/>
          <w:kern w:val="2"/>
          <w:sz w:val="32"/>
          <w:szCs w:val="32"/>
        </w:rPr>
        <w:t>（一）预算精准性有待进一步提高</w:t>
      </w:r>
      <w:r>
        <w:rPr>
          <w:rFonts w:ascii="Times New Roman" w:eastAsia="楷体_GB2312" w:hAnsi="Times New Roman" w:hint="eastAsia"/>
          <w:bCs/>
          <w:sz w:val="32"/>
          <w:szCs w:val="32"/>
        </w:rPr>
        <w:t>。</w:t>
      </w:r>
      <w:r>
        <w:rPr>
          <w:rFonts w:ascii="Times New Roman" w:eastAsia="仿宋_GB2312" w:hAnsi="Times New Roman" w:hint="eastAsia"/>
          <w:sz w:val="32"/>
          <w:szCs w:val="32"/>
        </w:rPr>
        <w:t>由于预算编制具有不可预见性，年初安排预算时，对各项公用支出的分配安排缺乏统一的硬性标准，导致部分资金使用时需要进行指标调剂。</w:t>
      </w:r>
    </w:p>
    <w:p w:rsidR="00365B06" w:rsidRDefault="00353FA0">
      <w:pPr>
        <w:widowControl/>
        <w:shd w:val="clear" w:color="auto" w:fill="FFFFFF"/>
        <w:spacing w:line="560" w:lineRule="exact"/>
        <w:ind w:firstLineChars="200" w:firstLine="640"/>
        <w:jc w:val="left"/>
        <w:rPr>
          <w:rFonts w:ascii="Times New Roman" w:eastAsia="仿宋_GB2312" w:hAnsi="Times New Roman"/>
          <w:sz w:val="32"/>
          <w:szCs w:val="32"/>
        </w:rPr>
      </w:pPr>
      <w:r>
        <w:rPr>
          <w:rFonts w:ascii="仿宋_GB2312" w:eastAsia="仿宋_GB2312" w:hAnsi="仿宋_GB2312" w:cs="仿宋_GB2312" w:hint="eastAsia"/>
          <w:kern w:val="2"/>
          <w:sz w:val="32"/>
          <w:szCs w:val="32"/>
        </w:rPr>
        <w:t>（二）预算绩效管理意识有待进一步加强，预算绩效管理的工作方法方式有待创新。</w:t>
      </w:r>
      <w:r>
        <w:rPr>
          <w:rFonts w:ascii="Times New Roman" w:eastAsia="仿宋_GB2312" w:hAnsi="Times New Roman" w:hint="eastAsia"/>
          <w:sz w:val="32"/>
          <w:szCs w:val="32"/>
        </w:rPr>
        <w:t>预算绩效管理工作贯穿全年，与各个业务股室息息相关，由于对预算绩效管理的全面性和重要性缺乏深入的了解，统揽全局的意识有所欠缺，导致预</w:t>
      </w:r>
      <w:r>
        <w:rPr>
          <w:rFonts w:ascii="Times New Roman" w:eastAsia="仿宋_GB2312" w:hAnsi="Times New Roman" w:hint="eastAsia"/>
          <w:sz w:val="32"/>
          <w:szCs w:val="32"/>
        </w:rPr>
        <w:lastRenderedPageBreak/>
        <w:t>算绩效管理工作在推动过程中能够很好地完成各项工作任务，但工作质量难以实现质的飞跃。</w:t>
      </w:r>
    </w:p>
    <w:p w:rsidR="00365B06" w:rsidRDefault="00353FA0">
      <w:pPr>
        <w:widowControl/>
        <w:numPr>
          <w:ilvl w:val="0"/>
          <w:numId w:val="5"/>
        </w:numPr>
        <w:shd w:val="clear" w:color="auto" w:fill="FFFFFF"/>
        <w:spacing w:line="560" w:lineRule="exact"/>
        <w:ind w:left="0" w:firstLineChars="200" w:firstLine="640"/>
        <w:rPr>
          <w:rFonts w:ascii="Times New Roman" w:eastAsia="仿宋_GB2312" w:hAnsi="Times New Roman"/>
          <w:sz w:val="32"/>
          <w:szCs w:val="32"/>
        </w:rPr>
      </w:pPr>
      <w:r>
        <w:rPr>
          <w:rFonts w:ascii="仿宋_GB2312" w:eastAsia="仿宋_GB2312" w:hAnsi="仿宋_GB2312" w:cs="仿宋_GB2312" w:hint="eastAsia"/>
          <w:kern w:val="2"/>
          <w:sz w:val="32"/>
          <w:szCs w:val="32"/>
        </w:rPr>
        <w:t>财务业务水平有待进一步提高。</w:t>
      </w:r>
      <w:r>
        <w:rPr>
          <w:rFonts w:ascii="Times New Roman" w:eastAsia="仿宋_GB2312" w:hAnsi="Times New Roman" w:hint="eastAsia"/>
          <w:sz w:val="32"/>
          <w:szCs w:val="32"/>
        </w:rPr>
        <w:t>由于财务工作内容变化较大，各项制度、政策更新快，加之财务人员忙于琐碎的日常工作，对各项新知识、新业务的学习时间、精力有限，导致财务人员预算绩效管理工作水平一般，在将预算绩效管理转化成工作成果，更好地指导各项工作的开展方面有所欠缺。</w:t>
      </w:r>
    </w:p>
    <w:p w:rsidR="00365B06" w:rsidRDefault="00353FA0">
      <w:pPr>
        <w:widowControl/>
        <w:numPr>
          <w:ilvl w:val="0"/>
          <w:numId w:val="6"/>
        </w:numPr>
        <w:spacing w:line="640" w:lineRule="exact"/>
        <w:ind w:firstLineChars="200" w:firstLine="640"/>
        <w:rPr>
          <w:rFonts w:ascii="Times New Roman" w:eastAsia="黑体" w:hAnsi="Times New Roman"/>
          <w:sz w:val="32"/>
          <w:szCs w:val="32"/>
        </w:rPr>
      </w:pPr>
      <w:r>
        <w:rPr>
          <w:rFonts w:ascii="Times New Roman" w:eastAsia="黑体" w:hAnsi="Times New Roman"/>
          <w:sz w:val="32"/>
          <w:szCs w:val="32"/>
        </w:rPr>
        <w:t>下一步改进措施</w:t>
      </w:r>
    </w:p>
    <w:p w:rsidR="00365B06" w:rsidRDefault="00353FA0">
      <w:pPr>
        <w:widowControl/>
        <w:shd w:val="clear" w:color="auto" w:fill="FFFFFF"/>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（一）加强预算编制的前瞻性，提高预算编制水平</w:t>
      </w:r>
      <w:r>
        <w:rPr>
          <w:rFonts w:ascii="楷体" w:eastAsia="楷体" w:hAnsi="楷体" w:cs="楷体" w:hint="eastAsia"/>
          <w:sz w:val="32"/>
          <w:szCs w:val="32"/>
        </w:rPr>
        <w:t>。</w:t>
      </w:r>
      <w:r>
        <w:rPr>
          <w:rFonts w:ascii="Times New Roman" w:eastAsia="仿宋_GB2312" w:hAnsi="Times New Roman" w:hint="eastAsia"/>
          <w:sz w:val="32"/>
          <w:szCs w:val="32"/>
        </w:rPr>
        <w:t>进一步提高预算编制的科学性、合理性、严谨性和可控性，紧密结合上一年度预算执行情况和本年度预算收支变化因素，科学、合理地编制本年预算草案，避免出现预算支出与预算执行出现偏差较大的情况。落实预算执行分析，及时了解预算执行差异，合理调整、纠正预算执行偏差，切实提高部门预算收支管理水平。</w:t>
      </w:r>
    </w:p>
    <w:p w:rsidR="00365B06" w:rsidRDefault="00353FA0">
      <w:pPr>
        <w:widowControl/>
        <w:numPr>
          <w:ilvl w:val="0"/>
          <w:numId w:val="7"/>
        </w:numPr>
        <w:shd w:val="clear" w:color="auto" w:fill="FFFFFF"/>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牢固树立预算绩效管理贯穿全局的理念，进一步创新工作方式方法。切实做好预算绩效管理的上传下达工作，在全单位形成将预算绩效管理意识融入到业务工作中的意识，多向优秀典型案例学习，拓宽工作思路，多想办法，想好办法，自觉提高预算绩效管理能力。</w:t>
      </w:r>
    </w:p>
    <w:p w:rsidR="00365B06" w:rsidRDefault="00353FA0">
      <w:pPr>
        <w:widowControl/>
        <w:shd w:val="clear" w:color="auto" w:fill="FFFFFF"/>
        <w:spacing w:line="560" w:lineRule="exact"/>
        <w:ind w:firstLineChars="200" w:firstLine="640"/>
        <w:rPr>
          <w:rFonts w:ascii="Times New Roman" w:eastAsia="黑体" w:hAnsi="Times New Roman"/>
          <w:sz w:val="32"/>
          <w:szCs w:val="32"/>
        </w:rPr>
      </w:pPr>
      <w:r>
        <w:rPr>
          <w:rFonts w:ascii="Times New Roman" w:eastAsia="仿宋_GB2312" w:hAnsi="Times New Roman" w:hint="eastAsia"/>
          <w:sz w:val="32"/>
          <w:szCs w:val="32"/>
        </w:rPr>
        <w:t>（三）加大财务人员培训力度，提高财务人员从业水平。督促财务人员树立常学常新的理念，及时更新知识体系，通过加大对财务人员预算绩效管理理论水平和实操的培训，提</w:t>
      </w:r>
      <w:r>
        <w:rPr>
          <w:rFonts w:ascii="Times New Roman" w:eastAsia="仿宋_GB2312" w:hAnsi="Times New Roman" w:hint="eastAsia"/>
          <w:sz w:val="32"/>
          <w:szCs w:val="32"/>
        </w:rPr>
        <w:lastRenderedPageBreak/>
        <w:t>高将预算绩效管理转化成生产力的能力，更好地提高本单位的管理水平，促进各项事业更好发展。</w:t>
      </w:r>
    </w:p>
    <w:p w:rsidR="00365B06" w:rsidRDefault="00353FA0">
      <w:pPr>
        <w:widowControl/>
        <w:numPr>
          <w:ilvl w:val="0"/>
          <w:numId w:val="6"/>
        </w:numPr>
        <w:spacing w:line="640" w:lineRule="exact"/>
        <w:ind w:firstLineChars="200" w:firstLine="640"/>
        <w:rPr>
          <w:rFonts w:ascii="Times New Roman" w:eastAsia="黑体" w:hAnsi="Times New Roman"/>
          <w:sz w:val="32"/>
          <w:szCs w:val="32"/>
        </w:rPr>
      </w:pPr>
      <w:r>
        <w:rPr>
          <w:rFonts w:ascii="Times New Roman" w:eastAsia="黑体" w:hAnsi="Times New Roman"/>
          <w:sz w:val="32"/>
          <w:szCs w:val="32"/>
        </w:rPr>
        <w:t>部门整体支出绩效自评结果拟应用和公开情况</w:t>
      </w:r>
    </w:p>
    <w:p w:rsidR="00365B06" w:rsidRDefault="00353FA0">
      <w:pPr>
        <w:widowControl/>
        <w:shd w:val="clear" w:color="auto" w:fill="FFFFFF"/>
        <w:spacing w:line="560" w:lineRule="exact"/>
        <w:ind w:firstLineChars="200" w:firstLine="640"/>
        <w:rPr>
          <w:rFonts w:ascii="Times New Roman" w:eastAsia="黑体" w:hAnsi="Times New Roman"/>
          <w:sz w:val="32"/>
          <w:szCs w:val="32"/>
        </w:rPr>
      </w:pPr>
      <w:r>
        <w:rPr>
          <w:rFonts w:ascii="Times New Roman" w:eastAsia="仿宋_GB2312" w:hAnsi="Times New Roman" w:hint="eastAsia"/>
          <w:sz w:val="32"/>
          <w:szCs w:val="32"/>
        </w:rPr>
        <w:t>单位</w:t>
      </w:r>
      <w:r>
        <w:rPr>
          <w:rFonts w:ascii="Times New Roman" w:eastAsia="仿宋_GB2312" w:hAnsi="Times New Roman" w:hint="eastAsia"/>
          <w:sz w:val="32"/>
          <w:szCs w:val="32"/>
        </w:rPr>
        <w:t>2024</w:t>
      </w:r>
      <w:r>
        <w:rPr>
          <w:rFonts w:ascii="Times New Roman" w:eastAsia="仿宋_GB2312" w:hAnsi="Times New Roman" w:hint="eastAsia"/>
          <w:sz w:val="32"/>
          <w:szCs w:val="32"/>
        </w:rPr>
        <w:t>年度部门整体支出绩效自评结果拟按湖南省财政厅关于印发《湖南省预算支出绩效评价管理办法》的通知（</w:t>
      </w:r>
      <w:proofErr w:type="gramStart"/>
      <w:r>
        <w:rPr>
          <w:rFonts w:ascii="Times New Roman" w:eastAsia="仿宋_GB2312" w:hAnsi="Times New Roman" w:hint="eastAsia"/>
          <w:sz w:val="32"/>
          <w:szCs w:val="32"/>
        </w:rPr>
        <w:t>湘财绩〔</w:t>
      </w:r>
      <w:r>
        <w:rPr>
          <w:rFonts w:ascii="Times New Roman" w:eastAsia="仿宋_GB2312" w:hAnsi="Times New Roman" w:hint="eastAsia"/>
          <w:sz w:val="32"/>
          <w:szCs w:val="32"/>
        </w:rPr>
        <w:t>2020</w:t>
      </w:r>
      <w:r>
        <w:rPr>
          <w:rFonts w:ascii="Times New Roman" w:eastAsia="仿宋_GB2312" w:hAnsi="Times New Roman" w:hint="eastAsia"/>
          <w:sz w:val="32"/>
          <w:szCs w:val="32"/>
        </w:rPr>
        <w:t>〕</w:t>
      </w:r>
      <w:proofErr w:type="gramEnd"/>
      <w:r>
        <w:rPr>
          <w:rFonts w:ascii="Times New Roman" w:eastAsia="仿宋_GB2312" w:hAnsi="Times New Roman" w:hint="eastAsia"/>
          <w:sz w:val="32"/>
          <w:szCs w:val="32"/>
        </w:rPr>
        <w:t>7</w:t>
      </w:r>
      <w:r>
        <w:rPr>
          <w:rFonts w:ascii="Times New Roman" w:eastAsia="仿宋_GB2312" w:hAnsi="Times New Roman" w:hint="eastAsia"/>
          <w:sz w:val="32"/>
          <w:szCs w:val="32"/>
        </w:rPr>
        <w:t>号）要求，在整体支出项目绩效目标编制申报时，根据项目实际情况和预期可达成的目标，设置更科学合理的指标。严格按规定内容、时限在君山区政务中心门户网站公开，接受社会监督。</w:t>
      </w:r>
    </w:p>
    <w:p w:rsidR="00365B06" w:rsidRDefault="00353FA0">
      <w:pPr>
        <w:widowControl/>
        <w:spacing w:line="640" w:lineRule="exact"/>
        <w:rPr>
          <w:rFonts w:ascii="Times New Roman" w:eastAsia="黑体" w:hAnsi="Times New Roman"/>
          <w:sz w:val="32"/>
          <w:szCs w:val="32"/>
        </w:rPr>
      </w:pPr>
      <w:r>
        <w:rPr>
          <w:rFonts w:ascii="Times New Roman" w:eastAsia="黑体" w:hAnsi="Times New Roman" w:hint="eastAsia"/>
          <w:sz w:val="32"/>
          <w:szCs w:val="32"/>
        </w:rPr>
        <w:t>十、</w:t>
      </w:r>
      <w:r>
        <w:rPr>
          <w:rFonts w:ascii="Times New Roman" w:eastAsia="黑体" w:hAnsi="Times New Roman"/>
          <w:sz w:val="32"/>
          <w:szCs w:val="32"/>
        </w:rPr>
        <w:t>其他需要说明的情况</w:t>
      </w:r>
    </w:p>
    <w:p w:rsidR="00365B06" w:rsidRDefault="00353FA0">
      <w:pPr>
        <w:widowControl/>
        <w:spacing w:line="6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无</w:t>
      </w:r>
    </w:p>
    <w:p w:rsidR="00365B06" w:rsidRDefault="00353FA0">
      <w:pPr>
        <w:widowControl/>
        <w:spacing w:line="6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r>
        <w:rPr>
          <w:rFonts w:ascii="仿宋_GB2312" w:eastAsia="仿宋_GB2312" w:hAnsi="仿宋_GB2312" w:cs="仿宋_GB2312" w:hint="eastAsia"/>
          <w:sz w:val="32"/>
          <w:szCs w:val="32"/>
        </w:rPr>
        <w:lastRenderedPageBreak/>
        <w:t>附件：</w:t>
      </w:r>
    </w:p>
    <w:p w:rsidR="00365B06" w:rsidRDefault="00353FA0">
      <w:pPr>
        <w:widowControl/>
        <w:spacing w:line="6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1.部门整体支出绩效评价基础数据表</w:t>
      </w:r>
    </w:p>
    <w:p w:rsidR="00365B06" w:rsidRDefault="00353FA0">
      <w:pPr>
        <w:widowControl/>
        <w:spacing w:line="6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2.部门整体支出绩效自评表</w:t>
      </w:r>
    </w:p>
    <w:p w:rsidR="00365B06" w:rsidRDefault="00353FA0">
      <w:pPr>
        <w:widowControl/>
        <w:spacing w:line="6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3.部门整体支出绩效自评工</w:t>
      </w:r>
      <w:proofErr w:type="gramStart"/>
      <w:r>
        <w:rPr>
          <w:rFonts w:ascii="仿宋_GB2312" w:eastAsia="仿宋_GB2312" w:hAnsi="仿宋_GB2312" w:cs="仿宋_GB2312" w:hint="eastAsia"/>
          <w:sz w:val="32"/>
          <w:szCs w:val="32"/>
        </w:rPr>
        <w:t>作考核</w:t>
      </w:r>
      <w:proofErr w:type="gramEnd"/>
      <w:r>
        <w:rPr>
          <w:rFonts w:ascii="仿宋_GB2312" w:eastAsia="仿宋_GB2312" w:hAnsi="仿宋_GB2312" w:cs="仿宋_GB2312" w:hint="eastAsia"/>
          <w:sz w:val="32"/>
          <w:szCs w:val="32"/>
        </w:rPr>
        <w:t>评分表</w:t>
      </w:r>
    </w:p>
    <w:p w:rsidR="00365B06" w:rsidRDefault="00365B06" w:rsidP="00353FA0">
      <w:pPr>
        <w:spacing w:afterLines="50" w:line="600" w:lineRule="exact"/>
        <w:rPr>
          <w:rFonts w:ascii="方正小标宋简体" w:eastAsia="方正小标宋简体" w:hAnsi="方正小标宋简体" w:cs="方正小标宋简体"/>
          <w:sz w:val="36"/>
          <w:szCs w:val="36"/>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pPr>
        <w:spacing w:line="360" w:lineRule="auto"/>
        <w:rPr>
          <w:rFonts w:ascii="仿宋_GB2312" w:eastAsia="仿宋_GB2312" w:hAnsi="仿宋_GB2312" w:cs="仿宋_GB2312"/>
          <w:sz w:val="32"/>
          <w:szCs w:val="32"/>
        </w:rPr>
      </w:pPr>
    </w:p>
    <w:p w:rsidR="00365B06" w:rsidRDefault="00365B06" w:rsidP="00353FA0">
      <w:pPr>
        <w:spacing w:afterLines="50" w:line="600" w:lineRule="exact"/>
        <w:rPr>
          <w:rFonts w:ascii="黑体" w:eastAsia="黑体" w:hAnsi="黑体" w:cs="黑体"/>
          <w:sz w:val="32"/>
          <w:szCs w:val="32"/>
        </w:rPr>
      </w:pPr>
    </w:p>
    <w:p w:rsidR="00365B06" w:rsidRDefault="00353FA0" w:rsidP="00353FA0">
      <w:pPr>
        <w:spacing w:afterLines="50" w:line="600" w:lineRule="exact"/>
        <w:rPr>
          <w:rFonts w:ascii="黑体" w:eastAsia="黑体" w:hAnsi="黑体" w:cs="黑体"/>
          <w:sz w:val="32"/>
          <w:szCs w:val="32"/>
        </w:rPr>
      </w:pPr>
      <w:r>
        <w:rPr>
          <w:rFonts w:ascii="黑体" w:eastAsia="黑体" w:hAnsi="黑体" w:cs="黑体" w:hint="eastAsia"/>
          <w:sz w:val="32"/>
          <w:szCs w:val="32"/>
        </w:rPr>
        <w:lastRenderedPageBreak/>
        <w:t>附件1</w:t>
      </w:r>
    </w:p>
    <w:p w:rsidR="00365B06" w:rsidRDefault="00353FA0" w:rsidP="00353FA0">
      <w:pPr>
        <w:spacing w:afterLines="50" w:line="600" w:lineRule="exact"/>
        <w:ind w:firstLineChars="300" w:firstLine="1080"/>
        <w:rPr>
          <w:rFonts w:ascii="方正小标宋简体" w:eastAsia="方正小标宋简体" w:hAnsi="方正小标宋简体" w:cs="方正小标宋简体"/>
          <w:sz w:val="24"/>
        </w:rPr>
      </w:pPr>
      <w:r>
        <w:rPr>
          <w:rFonts w:ascii="方正小标宋简体" w:eastAsia="方正小标宋简体" w:hAnsi="方正小标宋简体" w:cs="方正小标宋简体" w:hint="eastAsia"/>
          <w:sz w:val="36"/>
          <w:szCs w:val="36"/>
        </w:rPr>
        <w:t>2024年度部门整体支出绩效评价基础数据表</w:t>
      </w:r>
    </w:p>
    <w:tbl>
      <w:tblPr>
        <w:tblW w:w="9673" w:type="dxa"/>
        <w:jc w:val="center"/>
        <w:tblLayout w:type="fixed"/>
        <w:tblLook w:val="04A0"/>
      </w:tblPr>
      <w:tblGrid>
        <w:gridCol w:w="3354"/>
        <w:gridCol w:w="1189"/>
        <w:gridCol w:w="849"/>
        <w:gridCol w:w="1129"/>
        <w:gridCol w:w="1111"/>
        <w:gridCol w:w="1081"/>
        <w:gridCol w:w="960"/>
      </w:tblGrid>
      <w:tr w:rsidR="00365B06">
        <w:trPr>
          <w:jc w:val="center"/>
        </w:trPr>
        <w:tc>
          <w:tcPr>
            <w:tcW w:w="3354" w:type="dxa"/>
            <w:vMerge w:val="restart"/>
            <w:tcBorders>
              <w:top w:val="single" w:sz="4" w:space="0" w:color="auto"/>
              <w:left w:val="single" w:sz="4" w:space="0" w:color="auto"/>
              <w:bottom w:val="single" w:sz="4" w:space="0" w:color="auto"/>
              <w:right w:val="single" w:sz="4" w:space="0" w:color="auto"/>
            </w:tcBorders>
            <w:noWrap/>
            <w:vAlign w:val="center"/>
          </w:tcPr>
          <w:p w:rsidR="00365B06" w:rsidRDefault="00353FA0">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财政供养人员情况（人）</w:t>
            </w:r>
          </w:p>
        </w:tc>
        <w:tc>
          <w:tcPr>
            <w:tcW w:w="2038" w:type="dxa"/>
            <w:gridSpan w:val="2"/>
            <w:tcBorders>
              <w:top w:val="single" w:sz="4" w:space="0" w:color="auto"/>
              <w:left w:val="nil"/>
              <w:bottom w:val="single" w:sz="4" w:space="0" w:color="auto"/>
              <w:right w:val="single" w:sz="4" w:space="0" w:color="auto"/>
            </w:tcBorders>
            <w:noWrap/>
            <w:vAlign w:val="center"/>
          </w:tcPr>
          <w:p w:rsidR="00365B06" w:rsidRDefault="00353FA0">
            <w:pPr>
              <w:widowControl/>
              <w:spacing w:line="360" w:lineRule="exact"/>
              <w:jc w:val="center"/>
              <w:rPr>
                <w:rFonts w:ascii="仿宋_GB2312" w:eastAsia="仿宋_GB2312" w:hAnsi="仿宋_GB2312" w:cs="仿宋_GB2312"/>
                <w:b/>
                <w:bCs/>
                <w:sz w:val="20"/>
                <w:szCs w:val="20"/>
              </w:rPr>
            </w:pPr>
            <w:r>
              <w:rPr>
                <w:rFonts w:ascii="仿宋_GB2312" w:eastAsia="仿宋_GB2312" w:hAnsi="仿宋_GB2312" w:cs="仿宋_GB2312" w:hint="eastAsia"/>
                <w:b/>
                <w:bCs/>
                <w:sz w:val="20"/>
                <w:szCs w:val="20"/>
              </w:rPr>
              <w:t>编制数</w:t>
            </w:r>
          </w:p>
        </w:tc>
        <w:tc>
          <w:tcPr>
            <w:tcW w:w="2240" w:type="dxa"/>
            <w:gridSpan w:val="2"/>
            <w:tcBorders>
              <w:top w:val="single" w:sz="4" w:space="0" w:color="auto"/>
              <w:left w:val="nil"/>
              <w:bottom w:val="single" w:sz="4" w:space="0" w:color="auto"/>
              <w:right w:val="single" w:sz="4" w:space="0" w:color="auto"/>
            </w:tcBorders>
            <w:noWrap/>
            <w:vAlign w:val="center"/>
          </w:tcPr>
          <w:p w:rsidR="00365B06" w:rsidRDefault="00353FA0">
            <w:pPr>
              <w:widowControl/>
              <w:spacing w:line="360" w:lineRule="exact"/>
              <w:jc w:val="center"/>
              <w:rPr>
                <w:rFonts w:ascii="仿宋_GB2312" w:eastAsia="仿宋_GB2312" w:hAnsi="仿宋_GB2312" w:cs="仿宋_GB2312"/>
                <w:b/>
                <w:bCs/>
                <w:sz w:val="20"/>
                <w:szCs w:val="20"/>
              </w:rPr>
            </w:pPr>
            <w:r>
              <w:rPr>
                <w:rFonts w:ascii="仿宋_GB2312" w:eastAsia="仿宋_GB2312" w:hAnsi="仿宋_GB2312" w:cs="仿宋_GB2312" w:hint="eastAsia"/>
                <w:b/>
                <w:bCs/>
                <w:sz w:val="20"/>
                <w:szCs w:val="20"/>
              </w:rPr>
              <w:t>2024年实际在职人数</w:t>
            </w:r>
          </w:p>
        </w:tc>
        <w:tc>
          <w:tcPr>
            <w:tcW w:w="2041" w:type="dxa"/>
            <w:gridSpan w:val="2"/>
            <w:tcBorders>
              <w:top w:val="single" w:sz="4" w:space="0" w:color="auto"/>
              <w:left w:val="nil"/>
              <w:bottom w:val="single" w:sz="4" w:space="0" w:color="auto"/>
              <w:right w:val="single" w:sz="4" w:space="0" w:color="auto"/>
            </w:tcBorders>
            <w:noWrap/>
            <w:vAlign w:val="center"/>
          </w:tcPr>
          <w:p w:rsidR="00365B06" w:rsidRDefault="00353FA0">
            <w:pPr>
              <w:widowControl/>
              <w:spacing w:line="360" w:lineRule="exact"/>
              <w:jc w:val="center"/>
              <w:rPr>
                <w:rFonts w:ascii="仿宋_GB2312" w:eastAsia="仿宋_GB2312" w:hAnsi="仿宋_GB2312" w:cs="仿宋_GB2312"/>
                <w:b/>
                <w:bCs/>
                <w:sz w:val="20"/>
                <w:szCs w:val="20"/>
              </w:rPr>
            </w:pPr>
            <w:r>
              <w:rPr>
                <w:rFonts w:ascii="仿宋_GB2312" w:eastAsia="仿宋_GB2312" w:hAnsi="仿宋_GB2312" w:cs="仿宋_GB2312" w:hint="eastAsia"/>
                <w:b/>
                <w:bCs/>
                <w:sz w:val="20"/>
                <w:szCs w:val="20"/>
              </w:rPr>
              <w:t>控制率</w:t>
            </w:r>
          </w:p>
        </w:tc>
      </w:tr>
      <w:tr w:rsidR="00365B06">
        <w:trPr>
          <w:trHeight w:val="230"/>
          <w:jc w:val="center"/>
        </w:trPr>
        <w:tc>
          <w:tcPr>
            <w:tcW w:w="3354" w:type="dxa"/>
            <w:vMerge/>
            <w:tcBorders>
              <w:top w:val="single" w:sz="4" w:space="0" w:color="auto"/>
              <w:left w:val="single" w:sz="4" w:space="0" w:color="auto"/>
              <w:bottom w:val="single" w:sz="4" w:space="0" w:color="auto"/>
              <w:right w:val="single" w:sz="4" w:space="0" w:color="auto"/>
            </w:tcBorders>
            <w:noWrap/>
            <w:vAlign w:val="center"/>
          </w:tcPr>
          <w:p w:rsidR="00365B06" w:rsidRDefault="00365B06">
            <w:pPr>
              <w:widowControl/>
              <w:spacing w:line="360" w:lineRule="exact"/>
              <w:jc w:val="left"/>
              <w:rPr>
                <w:rFonts w:ascii="仿宋_GB2312" w:eastAsia="仿宋_GB2312" w:hAnsi="仿宋_GB2312" w:cs="仿宋_GB2312"/>
                <w:sz w:val="20"/>
                <w:szCs w:val="20"/>
              </w:rPr>
            </w:pPr>
          </w:p>
        </w:tc>
        <w:tc>
          <w:tcPr>
            <w:tcW w:w="2038" w:type="dxa"/>
            <w:gridSpan w:val="2"/>
            <w:tcBorders>
              <w:top w:val="single" w:sz="4" w:space="0" w:color="auto"/>
              <w:left w:val="nil"/>
              <w:bottom w:val="single" w:sz="4" w:space="0" w:color="auto"/>
              <w:right w:val="single" w:sz="4" w:space="0" w:color="auto"/>
            </w:tcBorders>
            <w:noWrap/>
            <w:vAlign w:val="center"/>
          </w:tcPr>
          <w:p w:rsidR="00365B06" w:rsidRDefault="00744992">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3</w:t>
            </w:r>
          </w:p>
        </w:tc>
        <w:tc>
          <w:tcPr>
            <w:tcW w:w="2240" w:type="dxa"/>
            <w:gridSpan w:val="2"/>
            <w:tcBorders>
              <w:top w:val="single" w:sz="4" w:space="0" w:color="auto"/>
              <w:left w:val="nil"/>
              <w:bottom w:val="single" w:sz="4" w:space="0" w:color="auto"/>
              <w:right w:val="single" w:sz="4" w:space="0" w:color="auto"/>
            </w:tcBorders>
            <w:noWrap/>
            <w:vAlign w:val="center"/>
          </w:tcPr>
          <w:p w:rsidR="00365B06" w:rsidRDefault="00744992">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3</w:t>
            </w:r>
          </w:p>
        </w:tc>
        <w:tc>
          <w:tcPr>
            <w:tcW w:w="2041" w:type="dxa"/>
            <w:gridSpan w:val="2"/>
            <w:tcBorders>
              <w:top w:val="single" w:sz="4" w:space="0" w:color="auto"/>
              <w:left w:val="nil"/>
              <w:bottom w:val="single" w:sz="4" w:space="0" w:color="auto"/>
              <w:right w:val="single" w:sz="4" w:space="0" w:color="auto"/>
            </w:tcBorders>
            <w:noWrap/>
            <w:vAlign w:val="center"/>
          </w:tcPr>
          <w:p w:rsidR="00365B06" w:rsidRDefault="00353FA0">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100%　</w:t>
            </w:r>
          </w:p>
        </w:tc>
      </w:tr>
      <w:tr w:rsidR="00365B06">
        <w:trPr>
          <w:trHeight w:val="210"/>
          <w:jc w:val="center"/>
        </w:trPr>
        <w:tc>
          <w:tcPr>
            <w:tcW w:w="3354" w:type="dxa"/>
            <w:tcBorders>
              <w:top w:val="nil"/>
              <w:left w:val="single" w:sz="4" w:space="0" w:color="auto"/>
              <w:bottom w:val="single" w:sz="4" w:space="0" w:color="auto"/>
              <w:right w:val="single" w:sz="4" w:space="0" w:color="auto"/>
            </w:tcBorders>
            <w:noWrap/>
            <w:vAlign w:val="center"/>
          </w:tcPr>
          <w:p w:rsidR="00365B06" w:rsidRDefault="00353FA0">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经费控制情况（万元）</w:t>
            </w:r>
          </w:p>
        </w:tc>
        <w:tc>
          <w:tcPr>
            <w:tcW w:w="2038" w:type="dxa"/>
            <w:gridSpan w:val="2"/>
            <w:tcBorders>
              <w:top w:val="single" w:sz="4" w:space="0" w:color="auto"/>
              <w:left w:val="nil"/>
              <w:bottom w:val="single" w:sz="4" w:space="0" w:color="auto"/>
              <w:right w:val="single" w:sz="4" w:space="0" w:color="000000"/>
            </w:tcBorders>
            <w:noWrap/>
            <w:vAlign w:val="center"/>
          </w:tcPr>
          <w:p w:rsidR="00365B06" w:rsidRDefault="00353FA0">
            <w:pPr>
              <w:widowControl/>
              <w:spacing w:line="360" w:lineRule="exact"/>
              <w:jc w:val="center"/>
              <w:rPr>
                <w:rFonts w:ascii="仿宋_GB2312" w:eastAsia="仿宋_GB2312" w:hAnsi="仿宋_GB2312" w:cs="仿宋_GB2312"/>
                <w:b/>
                <w:bCs/>
                <w:sz w:val="20"/>
                <w:szCs w:val="20"/>
              </w:rPr>
            </w:pPr>
            <w:r>
              <w:rPr>
                <w:rFonts w:ascii="仿宋_GB2312" w:eastAsia="仿宋_GB2312" w:hAnsi="仿宋_GB2312" w:cs="仿宋_GB2312" w:hint="eastAsia"/>
                <w:b/>
                <w:bCs/>
                <w:sz w:val="20"/>
                <w:szCs w:val="20"/>
              </w:rPr>
              <w:t>2023年决算数</w:t>
            </w:r>
          </w:p>
        </w:tc>
        <w:tc>
          <w:tcPr>
            <w:tcW w:w="2240" w:type="dxa"/>
            <w:gridSpan w:val="2"/>
            <w:tcBorders>
              <w:top w:val="single" w:sz="4" w:space="0" w:color="auto"/>
              <w:left w:val="nil"/>
              <w:bottom w:val="single" w:sz="4" w:space="0" w:color="auto"/>
              <w:right w:val="single" w:sz="4" w:space="0" w:color="000000"/>
            </w:tcBorders>
            <w:noWrap/>
            <w:vAlign w:val="center"/>
          </w:tcPr>
          <w:p w:rsidR="00365B06" w:rsidRDefault="00353FA0">
            <w:pPr>
              <w:widowControl/>
              <w:spacing w:line="360" w:lineRule="exact"/>
              <w:jc w:val="center"/>
              <w:rPr>
                <w:rFonts w:ascii="仿宋_GB2312" w:eastAsia="仿宋_GB2312" w:hAnsi="仿宋_GB2312" w:cs="仿宋_GB2312"/>
                <w:b/>
                <w:bCs/>
                <w:sz w:val="20"/>
                <w:szCs w:val="20"/>
              </w:rPr>
            </w:pPr>
            <w:r>
              <w:rPr>
                <w:rFonts w:ascii="仿宋_GB2312" w:eastAsia="仿宋_GB2312" w:hAnsi="仿宋_GB2312" w:cs="仿宋_GB2312" w:hint="eastAsia"/>
                <w:b/>
                <w:bCs/>
                <w:sz w:val="20"/>
                <w:szCs w:val="20"/>
              </w:rPr>
              <w:t>2024年预算数</w:t>
            </w:r>
          </w:p>
        </w:tc>
        <w:tc>
          <w:tcPr>
            <w:tcW w:w="2041" w:type="dxa"/>
            <w:gridSpan w:val="2"/>
            <w:tcBorders>
              <w:top w:val="single" w:sz="4" w:space="0" w:color="auto"/>
              <w:left w:val="nil"/>
              <w:bottom w:val="single" w:sz="4" w:space="0" w:color="auto"/>
              <w:right w:val="single" w:sz="4" w:space="0" w:color="000000"/>
            </w:tcBorders>
            <w:noWrap/>
            <w:vAlign w:val="center"/>
          </w:tcPr>
          <w:p w:rsidR="00365B06" w:rsidRDefault="00353FA0">
            <w:pPr>
              <w:widowControl/>
              <w:spacing w:line="360" w:lineRule="exact"/>
              <w:jc w:val="center"/>
              <w:rPr>
                <w:rFonts w:ascii="仿宋_GB2312" w:eastAsia="仿宋_GB2312" w:hAnsi="仿宋_GB2312" w:cs="仿宋_GB2312"/>
                <w:b/>
                <w:bCs/>
                <w:sz w:val="20"/>
                <w:szCs w:val="20"/>
              </w:rPr>
            </w:pPr>
            <w:r>
              <w:rPr>
                <w:rFonts w:ascii="仿宋_GB2312" w:eastAsia="仿宋_GB2312" w:hAnsi="仿宋_GB2312" w:cs="仿宋_GB2312" w:hint="eastAsia"/>
                <w:b/>
                <w:bCs/>
                <w:sz w:val="20"/>
                <w:szCs w:val="20"/>
              </w:rPr>
              <w:t>2024年决算数</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三</w:t>
            </w:r>
            <w:proofErr w:type="gramStart"/>
            <w:r>
              <w:rPr>
                <w:rFonts w:ascii="仿宋_GB2312" w:eastAsia="仿宋_GB2312" w:hAnsi="仿宋_GB2312" w:cs="仿宋_GB2312" w:hint="eastAsia"/>
                <w:sz w:val="20"/>
                <w:szCs w:val="20"/>
              </w:rPr>
              <w:t>公经费</w:t>
            </w:r>
            <w:proofErr w:type="gramEnd"/>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0.11</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0.14</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0.1</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1、公务用车购置和维护经费</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0</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其中：公车购置</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0</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公车运行维护</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0</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2、出国经费</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0</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3、公务接待</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0.11</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0.14</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0.1</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项目支出：</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1、业务工作经费</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2、运行维护经费</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3、市级专项资金（一个专项一行）</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0　</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0</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公用经费</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28.95　</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1A267D">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40.44</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1A267D">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38.56</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其中：办公经费</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color w:val="FF0000"/>
                <w:sz w:val="20"/>
                <w:szCs w:val="20"/>
              </w:rPr>
            </w:pPr>
            <w:r>
              <w:rPr>
                <w:rFonts w:ascii="宋体" w:hAnsi="宋体" w:cs="宋体" w:hint="eastAsia"/>
                <w:color w:val="000000"/>
                <w:sz w:val="22"/>
                <w:szCs w:val="22"/>
                <w:lang/>
              </w:rPr>
              <w:t>4.87</w:t>
            </w:r>
            <w:r>
              <w:rPr>
                <w:rFonts w:ascii="仿宋_GB2312" w:eastAsia="仿宋_GB2312" w:hAnsi="仿宋_GB2312" w:cs="仿宋_GB2312" w:hint="eastAsia"/>
                <w:color w:val="FF0000"/>
                <w:sz w:val="20"/>
                <w:szCs w:val="20"/>
              </w:rPr>
              <w:t xml:space="preserve">　</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color w:val="FF0000"/>
                <w:sz w:val="20"/>
                <w:szCs w:val="20"/>
              </w:rPr>
            </w:pPr>
            <w:r>
              <w:rPr>
                <w:rFonts w:ascii="宋体" w:hAnsi="宋体" w:cs="宋体" w:hint="eastAsia"/>
                <w:color w:val="000000"/>
                <w:sz w:val="22"/>
                <w:szCs w:val="22"/>
                <w:lang/>
              </w:rPr>
              <w:t>3.22</w:t>
            </w:r>
            <w:r>
              <w:rPr>
                <w:rFonts w:ascii="仿宋_GB2312" w:eastAsia="仿宋_GB2312" w:hAnsi="仿宋_GB2312" w:cs="仿宋_GB2312" w:hint="eastAsia"/>
                <w:color w:val="FF0000"/>
                <w:sz w:val="20"/>
                <w:szCs w:val="20"/>
              </w:rPr>
              <w:t xml:space="preserve">　</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color w:val="FF0000"/>
                <w:sz w:val="20"/>
                <w:szCs w:val="20"/>
              </w:rPr>
            </w:pPr>
            <w:r>
              <w:rPr>
                <w:rFonts w:ascii="宋体" w:hAnsi="宋体" w:cs="宋体" w:hint="eastAsia"/>
                <w:color w:val="000000"/>
                <w:sz w:val="22"/>
                <w:szCs w:val="22"/>
                <w:lang/>
              </w:rPr>
              <w:t>3.22</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水费、电费、差旅费</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color w:val="FF0000"/>
                <w:sz w:val="20"/>
                <w:szCs w:val="20"/>
              </w:rPr>
            </w:pPr>
            <w:r>
              <w:rPr>
                <w:rFonts w:ascii="宋体" w:hAnsi="宋体" w:cs="宋体" w:hint="eastAsia"/>
                <w:color w:val="000000"/>
                <w:sz w:val="22"/>
                <w:szCs w:val="22"/>
                <w:lang/>
              </w:rPr>
              <w:t>0.1</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color w:val="FF0000"/>
                <w:sz w:val="20"/>
                <w:szCs w:val="20"/>
              </w:rPr>
            </w:pPr>
            <w:r>
              <w:rPr>
                <w:rFonts w:ascii="宋体" w:hAnsi="宋体" w:cs="宋体" w:hint="eastAsia"/>
                <w:color w:val="000000"/>
                <w:sz w:val="22"/>
                <w:szCs w:val="22"/>
                <w:lang/>
              </w:rPr>
              <w:t>0.3</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color w:val="FF0000"/>
                <w:sz w:val="20"/>
                <w:szCs w:val="20"/>
              </w:rPr>
            </w:pPr>
            <w:r>
              <w:rPr>
                <w:rFonts w:ascii="宋体" w:hAnsi="宋体" w:cs="宋体" w:hint="eastAsia"/>
                <w:color w:val="000000"/>
                <w:sz w:val="22"/>
                <w:szCs w:val="22"/>
                <w:lang/>
              </w:rPr>
              <w:t>0.3</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会议费、培训费</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color w:val="FF0000"/>
                <w:sz w:val="20"/>
                <w:szCs w:val="20"/>
              </w:rPr>
            </w:pPr>
            <w:r>
              <w:rPr>
                <w:rFonts w:ascii="宋体" w:hAnsi="宋体" w:cs="宋体" w:hint="eastAsia"/>
                <w:color w:val="000000"/>
                <w:sz w:val="22"/>
                <w:szCs w:val="22"/>
                <w:lang/>
              </w:rPr>
              <w:t>1.9</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color w:val="FF0000"/>
                <w:sz w:val="20"/>
                <w:szCs w:val="20"/>
              </w:rPr>
            </w:pPr>
            <w:r>
              <w:rPr>
                <w:rFonts w:ascii="宋体" w:hAnsi="宋体" w:cs="宋体" w:hint="eastAsia"/>
                <w:color w:val="000000"/>
                <w:sz w:val="22"/>
                <w:szCs w:val="22"/>
                <w:lang/>
              </w:rPr>
              <w:t>1.43</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color w:val="FF0000"/>
                <w:sz w:val="20"/>
                <w:szCs w:val="20"/>
              </w:rPr>
            </w:pPr>
            <w:r>
              <w:rPr>
                <w:rFonts w:ascii="宋体" w:hAnsi="宋体" w:cs="宋体" w:hint="eastAsia"/>
                <w:color w:val="000000"/>
                <w:sz w:val="22"/>
                <w:szCs w:val="22"/>
                <w:lang/>
              </w:rPr>
              <w:t>1.43</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政府采购金额</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11.08　　</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13.08</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13.08　　</w:t>
            </w:r>
          </w:p>
        </w:tc>
      </w:tr>
      <w:tr w:rsidR="000111FF">
        <w:trPr>
          <w:trHeight w:val="90"/>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部门基本支出预算调整 </w:t>
            </w:r>
          </w:p>
        </w:tc>
        <w:tc>
          <w:tcPr>
            <w:tcW w:w="2038" w:type="dxa"/>
            <w:gridSpan w:val="2"/>
            <w:tcBorders>
              <w:top w:val="single" w:sz="4" w:space="0" w:color="auto"/>
              <w:left w:val="nil"/>
              <w:bottom w:val="single" w:sz="4" w:space="0" w:color="auto"/>
              <w:right w:val="single" w:sz="4" w:space="0" w:color="000000"/>
            </w:tcBorders>
            <w:noWrap/>
            <w:vAlign w:val="center"/>
          </w:tcPr>
          <w:p w:rsidR="000111FF" w:rsidRDefault="000111FF" w:rsidP="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68.37</w:t>
            </w:r>
          </w:p>
        </w:tc>
        <w:tc>
          <w:tcPr>
            <w:tcW w:w="2240"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68.37</w:t>
            </w:r>
          </w:p>
        </w:tc>
        <w:tc>
          <w:tcPr>
            <w:tcW w:w="2041" w:type="dxa"/>
            <w:gridSpan w:val="2"/>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68.37</w:t>
            </w:r>
          </w:p>
        </w:tc>
      </w:tr>
      <w:tr w:rsidR="000111FF">
        <w:trPr>
          <w:jc w:val="center"/>
        </w:trPr>
        <w:tc>
          <w:tcPr>
            <w:tcW w:w="3354" w:type="dxa"/>
            <w:vMerge w:val="restart"/>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楼堂馆所控制情况</w:t>
            </w:r>
          </w:p>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（2024年完工项目）</w:t>
            </w:r>
          </w:p>
        </w:tc>
        <w:tc>
          <w:tcPr>
            <w:tcW w:w="1189" w:type="dxa"/>
            <w:tcBorders>
              <w:top w:val="nil"/>
              <w:left w:val="nil"/>
              <w:bottom w:val="single" w:sz="4" w:space="0" w:color="auto"/>
              <w:right w:val="single" w:sz="4" w:space="0" w:color="auto"/>
            </w:tcBorders>
            <w:noWrap/>
            <w:vAlign w:val="center"/>
          </w:tcPr>
          <w:p w:rsidR="000111FF" w:rsidRDefault="000111FF">
            <w:pPr>
              <w:widowControl/>
              <w:spacing w:line="360" w:lineRule="exact"/>
              <w:jc w:val="center"/>
              <w:rPr>
                <w:rFonts w:ascii="仿宋_GB2312" w:eastAsia="仿宋_GB2312" w:hAnsi="仿宋_GB2312" w:cs="仿宋_GB2312"/>
                <w:bCs/>
                <w:sz w:val="20"/>
                <w:szCs w:val="20"/>
              </w:rPr>
            </w:pPr>
            <w:r>
              <w:rPr>
                <w:rFonts w:ascii="仿宋_GB2312" w:eastAsia="仿宋_GB2312" w:hAnsi="仿宋_GB2312" w:cs="仿宋_GB2312" w:hint="eastAsia"/>
                <w:bCs/>
                <w:sz w:val="20"/>
                <w:szCs w:val="20"/>
              </w:rPr>
              <w:t>批复规模</w:t>
            </w:r>
          </w:p>
          <w:p w:rsidR="000111FF" w:rsidRDefault="000111FF">
            <w:pPr>
              <w:widowControl/>
              <w:spacing w:line="360" w:lineRule="exact"/>
              <w:jc w:val="center"/>
              <w:rPr>
                <w:rFonts w:ascii="仿宋_GB2312" w:eastAsia="仿宋_GB2312" w:hAnsi="仿宋_GB2312" w:cs="仿宋_GB2312"/>
                <w:bCs/>
                <w:sz w:val="20"/>
                <w:szCs w:val="20"/>
              </w:rPr>
            </w:pPr>
            <w:r>
              <w:rPr>
                <w:rFonts w:ascii="仿宋_GB2312" w:eastAsia="仿宋_GB2312" w:hAnsi="仿宋_GB2312" w:cs="仿宋_GB2312" w:hint="eastAsia"/>
                <w:bCs/>
                <w:sz w:val="20"/>
                <w:szCs w:val="20"/>
              </w:rPr>
              <w:t>（㎡）</w:t>
            </w:r>
          </w:p>
        </w:tc>
        <w:tc>
          <w:tcPr>
            <w:tcW w:w="849" w:type="dxa"/>
            <w:tcBorders>
              <w:top w:val="nil"/>
              <w:left w:val="nil"/>
              <w:bottom w:val="single" w:sz="4" w:space="0" w:color="auto"/>
              <w:right w:val="single" w:sz="4" w:space="0" w:color="auto"/>
            </w:tcBorders>
            <w:noWrap/>
            <w:vAlign w:val="center"/>
          </w:tcPr>
          <w:p w:rsidR="000111FF" w:rsidRDefault="000111FF">
            <w:pPr>
              <w:widowControl/>
              <w:spacing w:line="360" w:lineRule="exact"/>
              <w:jc w:val="center"/>
              <w:rPr>
                <w:rFonts w:ascii="仿宋_GB2312" w:eastAsia="仿宋_GB2312" w:hAnsi="仿宋_GB2312" w:cs="仿宋_GB2312"/>
                <w:bCs/>
                <w:sz w:val="20"/>
                <w:szCs w:val="20"/>
              </w:rPr>
            </w:pPr>
            <w:r>
              <w:rPr>
                <w:rFonts w:ascii="仿宋_GB2312" w:eastAsia="仿宋_GB2312" w:hAnsi="仿宋_GB2312" w:cs="仿宋_GB2312" w:hint="eastAsia"/>
                <w:bCs/>
                <w:sz w:val="20"/>
                <w:szCs w:val="20"/>
              </w:rPr>
              <w:t>实际规模（㎡）</w:t>
            </w:r>
          </w:p>
        </w:tc>
        <w:tc>
          <w:tcPr>
            <w:tcW w:w="1129" w:type="dxa"/>
            <w:tcBorders>
              <w:top w:val="nil"/>
              <w:left w:val="nil"/>
              <w:bottom w:val="single" w:sz="4" w:space="0" w:color="auto"/>
              <w:right w:val="single" w:sz="4" w:space="0" w:color="auto"/>
            </w:tcBorders>
            <w:noWrap/>
            <w:vAlign w:val="center"/>
          </w:tcPr>
          <w:p w:rsidR="000111FF" w:rsidRDefault="000111FF">
            <w:pPr>
              <w:widowControl/>
              <w:spacing w:line="360" w:lineRule="exact"/>
              <w:jc w:val="center"/>
              <w:rPr>
                <w:rFonts w:ascii="仿宋_GB2312" w:eastAsia="仿宋_GB2312" w:hAnsi="仿宋_GB2312" w:cs="仿宋_GB2312"/>
                <w:bCs/>
                <w:sz w:val="20"/>
                <w:szCs w:val="20"/>
              </w:rPr>
            </w:pPr>
            <w:r>
              <w:rPr>
                <w:rFonts w:ascii="仿宋_GB2312" w:eastAsia="仿宋_GB2312" w:hAnsi="仿宋_GB2312" w:cs="仿宋_GB2312" w:hint="eastAsia"/>
                <w:bCs/>
                <w:sz w:val="20"/>
                <w:szCs w:val="20"/>
              </w:rPr>
              <w:t>规模控制率</w:t>
            </w:r>
          </w:p>
        </w:tc>
        <w:tc>
          <w:tcPr>
            <w:tcW w:w="1111" w:type="dxa"/>
            <w:tcBorders>
              <w:top w:val="nil"/>
              <w:left w:val="nil"/>
              <w:bottom w:val="single" w:sz="4" w:space="0" w:color="auto"/>
              <w:right w:val="single" w:sz="4" w:space="0" w:color="auto"/>
            </w:tcBorders>
            <w:noWrap/>
            <w:vAlign w:val="center"/>
          </w:tcPr>
          <w:p w:rsidR="000111FF" w:rsidRDefault="000111FF">
            <w:pPr>
              <w:widowControl/>
              <w:spacing w:line="360" w:lineRule="exact"/>
              <w:jc w:val="center"/>
              <w:rPr>
                <w:rFonts w:ascii="仿宋_GB2312" w:eastAsia="仿宋_GB2312" w:hAnsi="仿宋_GB2312" w:cs="仿宋_GB2312"/>
                <w:bCs/>
                <w:sz w:val="20"/>
                <w:szCs w:val="20"/>
              </w:rPr>
            </w:pPr>
            <w:r>
              <w:rPr>
                <w:rFonts w:ascii="仿宋_GB2312" w:eastAsia="仿宋_GB2312" w:hAnsi="仿宋_GB2312" w:cs="仿宋_GB2312" w:hint="eastAsia"/>
                <w:bCs/>
                <w:sz w:val="20"/>
                <w:szCs w:val="20"/>
              </w:rPr>
              <w:t>预算投资（万元）</w:t>
            </w:r>
          </w:p>
        </w:tc>
        <w:tc>
          <w:tcPr>
            <w:tcW w:w="1081" w:type="dxa"/>
            <w:tcBorders>
              <w:top w:val="nil"/>
              <w:left w:val="nil"/>
              <w:bottom w:val="single" w:sz="4" w:space="0" w:color="auto"/>
              <w:right w:val="single" w:sz="4" w:space="0" w:color="auto"/>
            </w:tcBorders>
            <w:noWrap/>
            <w:vAlign w:val="center"/>
          </w:tcPr>
          <w:p w:rsidR="000111FF" w:rsidRDefault="000111FF">
            <w:pPr>
              <w:widowControl/>
              <w:spacing w:line="360" w:lineRule="exact"/>
              <w:jc w:val="center"/>
              <w:rPr>
                <w:rFonts w:ascii="仿宋_GB2312" w:eastAsia="仿宋_GB2312" w:hAnsi="仿宋_GB2312" w:cs="仿宋_GB2312"/>
                <w:bCs/>
                <w:sz w:val="20"/>
                <w:szCs w:val="20"/>
              </w:rPr>
            </w:pPr>
            <w:r>
              <w:rPr>
                <w:rFonts w:ascii="仿宋_GB2312" w:eastAsia="仿宋_GB2312" w:hAnsi="仿宋_GB2312" w:cs="仿宋_GB2312" w:hint="eastAsia"/>
                <w:bCs/>
                <w:sz w:val="20"/>
                <w:szCs w:val="20"/>
              </w:rPr>
              <w:t>实际投资（万元）</w:t>
            </w:r>
          </w:p>
        </w:tc>
        <w:tc>
          <w:tcPr>
            <w:tcW w:w="960" w:type="dxa"/>
            <w:tcBorders>
              <w:top w:val="nil"/>
              <w:left w:val="nil"/>
              <w:bottom w:val="single" w:sz="4" w:space="0" w:color="auto"/>
              <w:right w:val="single" w:sz="4" w:space="0" w:color="auto"/>
            </w:tcBorders>
            <w:noWrap/>
            <w:vAlign w:val="center"/>
          </w:tcPr>
          <w:p w:rsidR="000111FF" w:rsidRDefault="000111FF">
            <w:pPr>
              <w:widowControl/>
              <w:spacing w:line="360" w:lineRule="exact"/>
              <w:jc w:val="center"/>
              <w:rPr>
                <w:rFonts w:ascii="仿宋_GB2312" w:eastAsia="仿宋_GB2312" w:hAnsi="仿宋_GB2312" w:cs="仿宋_GB2312"/>
                <w:bCs/>
                <w:sz w:val="20"/>
                <w:szCs w:val="20"/>
              </w:rPr>
            </w:pPr>
            <w:r>
              <w:rPr>
                <w:rFonts w:ascii="仿宋_GB2312" w:eastAsia="仿宋_GB2312" w:hAnsi="仿宋_GB2312" w:cs="仿宋_GB2312" w:hint="eastAsia"/>
                <w:bCs/>
                <w:sz w:val="20"/>
                <w:szCs w:val="20"/>
              </w:rPr>
              <w:t>投资概算控制率</w:t>
            </w:r>
          </w:p>
        </w:tc>
      </w:tr>
      <w:tr w:rsidR="000111FF">
        <w:trPr>
          <w:trHeight w:val="180"/>
          <w:jc w:val="center"/>
        </w:trPr>
        <w:tc>
          <w:tcPr>
            <w:tcW w:w="3354" w:type="dxa"/>
            <w:vMerge/>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p>
        </w:tc>
        <w:tc>
          <w:tcPr>
            <w:tcW w:w="1189" w:type="dxa"/>
            <w:tcBorders>
              <w:top w:val="nil"/>
              <w:left w:val="nil"/>
              <w:bottom w:val="single" w:sz="4" w:space="0" w:color="auto"/>
              <w:right w:val="single" w:sz="4" w:space="0" w:color="auto"/>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w:t>
            </w:r>
          </w:p>
        </w:tc>
        <w:tc>
          <w:tcPr>
            <w:tcW w:w="849" w:type="dxa"/>
            <w:tcBorders>
              <w:top w:val="nil"/>
              <w:left w:val="nil"/>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w:t>
            </w:r>
          </w:p>
        </w:tc>
        <w:tc>
          <w:tcPr>
            <w:tcW w:w="1129" w:type="dxa"/>
            <w:tcBorders>
              <w:top w:val="nil"/>
              <w:left w:val="nil"/>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w:t>
            </w:r>
          </w:p>
        </w:tc>
        <w:tc>
          <w:tcPr>
            <w:tcW w:w="1111" w:type="dxa"/>
            <w:tcBorders>
              <w:top w:val="nil"/>
              <w:left w:val="nil"/>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w:t>
            </w:r>
          </w:p>
        </w:tc>
        <w:tc>
          <w:tcPr>
            <w:tcW w:w="1081" w:type="dxa"/>
            <w:tcBorders>
              <w:top w:val="nil"/>
              <w:left w:val="nil"/>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w:t>
            </w:r>
          </w:p>
        </w:tc>
        <w:tc>
          <w:tcPr>
            <w:tcW w:w="960" w:type="dxa"/>
            <w:tcBorders>
              <w:top w:val="nil"/>
              <w:left w:val="nil"/>
              <w:bottom w:val="single" w:sz="4" w:space="0" w:color="auto"/>
              <w:right w:val="single" w:sz="4" w:space="0" w:color="auto"/>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 xml:space="preserve">　</w:t>
            </w:r>
          </w:p>
        </w:tc>
      </w:tr>
      <w:tr w:rsidR="000111FF">
        <w:trPr>
          <w:jc w:val="center"/>
        </w:trPr>
        <w:tc>
          <w:tcPr>
            <w:tcW w:w="3354" w:type="dxa"/>
            <w:tcBorders>
              <w:top w:val="nil"/>
              <w:left w:val="single" w:sz="4" w:space="0" w:color="auto"/>
              <w:bottom w:val="single" w:sz="4" w:space="0" w:color="auto"/>
              <w:right w:val="single" w:sz="4" w:space="0" w:color="auto"/>
            </w:tcBorders>
            <w:noWrap/>
            <w:vAlign w:val="center"/>
          </w:tcPr>
          <w:p w:rsidR="000111FF" w:rsidRDefault="000111FF">
            <w:pPr>
              <w:widowControl/>
              <w:spacing w:line="36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厉行节约保障措施</w:t>
            </w:r>
          </w:p>
        </w:tc>
        <w:tc>
          <w:tcPr>
            <w:tcW w:w="6319" w:type="dxa"/>
            <w:gridSpan w:val="6"/>
            <w:tcBorders>
              <w:top w:val="single" w:sz="4" w:space="0" w:color="auto"/>
              <w:left w:val="nil"/>
              <w:bottom w:val="single" w:sz="4" w:space="0" w:color="auto"/>
              <w:right w:val="single" w:sz="4" w:space="0" w:color="000000"/>
            </w:tcBorders>
            <w:noWrap/>
            <w:vAlign w:val="center"/>
          </w:tcPr>
          <w:p w:rsidR="000111FF" w:rsidRDefault="000111FF">
            <w:pPr>
              <w:widowControl/>
              <w:spacing w:line="360" w:lineRule="exact"/>
              <w:jc w:val="left"/>
              <w:rPr>
                <w:rFonts w:ascii="仿宋_GB2312" w:eastAsia="仿宋_GB2312" w:hAnsi="仿宋_GB2312" w:cs="仿宋_GB2312"/>
                <w:sz w:val="20"/>
                <w:szCs w:val="20"/>
              </w:rPr>
            </w:pPr>
            <w:r>
              <w:rPr>
                <w:rFonts w:ascii="仿宋_GB2312" w:eastAsia="仿宋_GB2312" w:hAnsi="仿宋_GB2312" w:cs="仿宋_GB2312" w:hint="eastAsia"/>
                <w:sz w:val="20"/>
                <w:szCs w:val="20"/>
              </w:rPr>
              <w:t>深入贯彻落实中央八项规定及其实施细则</w:t>
            </w:r>
            <w:proofErr w:type="gramStart"/>
            <w:r>
              <w:rPr>
                <w:rFonts w:ascii="仿宋_GB2312" w:eastAsia="仿宋_GB2312" w:hAnsi="仿宋_GB2312" w:cs="仿宋_GB2312" w:hint="eastAsia"/>
                <w:sz w:val="20"/>
                <w:szCs w:val="20"/>
              </w:rPr>
              <w:t>特</w:t>
            </w:r>
            <w:proofErr w:type="gramEnd"/>
            <w:r>
              <w:rPr>
                <w:rFonts w:ascii="仿宋_GB2312" w:eastAsia="仿宋_GB2312" w:hAnsi="仿宋_GB2312" w:cs="仿宋_GB2312" w:hint="eastAsia"/>
                <w:sz w:val="20"/>
                <w:szCs w:val="20"/>
              </w:rPr>
              <w:t>神，严格控制“三公”经费开支，严禁超范围、超标准开支，</w:t>
            </w:r>
            <w:proofErr w:type="gramStart"/>
            <w:r>
              <w:rPr>
                <w:rFonts w:ascii="仿宋_GB2312" w:eastAsia="仿宋_GB2312" w:hAnsi="仿宋_GB2312" w:cs="仿宋_GB2312" w:hint="eastAsia"/>
                <w:sz w:val="20"/>
                <w:szCs w:val="20"/>
              </w:rPr>
              <w:t>践行</w:t>
            </w:r>
            <w:proofErr w:type="gramEnd"/>
            <w:r>
              <w:rPr>
                <w:rFonts w:ascii="仿宋_GB2312" w:eastAsia="仿宋_GB2312" w:hAnsi="仿宋_GB2312" w:cs="仿宋_GB2312" w:hint="eastAsia"/>
                <w:sz w:val="20"/>
                <w:szCs w:val="20"/>
              </w:rPr>
              <w:t xml:space="preserve">精细化管理理念，加强绩效化管理，推进绩效评价结果与预算挂钩，严防资金低效使用，确保财力有效转化为保障力。　</w:t>
            </w:r>
          </w:p>
        </w:tc>
      </w:tr>
    </w:tbl>
    <w:p w:rsidR="00365B06" w:rsidRDefault="00353FA0">
      <w:pPr>
        <w:widowControl/>
        <w:spacing w:line="400" w:lineRule="exact"/>
        <w:jc w:val="left"/>
        <w:rPr>
          <w:rFonts w:ascii="Times New Roman" w:eastAsia="仿宋_GB2312" w:hAnsi="Times New Roman"/>
          <w:sz w:val="22"/>
        </w:rPr>
      </w:pPr>
      <w:r>
        <w:rPr>
          <w:rFonts w:ascii="Times New Roman" w:eastAsia="仿宋_GB2312" w:hAnsi="Times New Roman"/>
          <w:sz w:val="22"/>
        </w:rPr>
        <w:t>说明：</w:t>
      </w:r>
      <w:r>
        <w:rPr>
          <w:rFonts w:ascii="Times New Roman" w:eastAsia="仿宋_GB2312" w:hAnsi="Times New Roman"/>
          <w:sz w:val="22"/>
        </w:rPr>
        <w:t>“</w:t>
      </w:r>
      <w:r>
        <w:rPr>
          <w:rFonts w:ascii="Times New Roman" w:eastAsia="仿宋_GB2312" w:hAnsi="Times New Roman"/>
          <w:sz w:val="22"/>
        </w:rPr>
        <w:t>项目支出</w:t>
      </w:r>
      <w:r>
        <w:rPr>
          <w:rFonts w:ascii="Times New Roman" w:eastAsia="仿宋_GB2312" w:hAnsi="Times New Roman"/>
          <w:sz w:val="22"/>
        </w:rPr>
        <w:t>”</w:t>
      </w:r>
      <w:r>
        <w:rPr>
          <w:rFonts w:ascii="Times New Roman" w:eastAsia="仿宋_GB2312" w:hAnsi="Times New Roman"/>
          <w:sz w:val="22"/>
        </w:rPr>
        <w:t>需要填报基本支出以外的所有项目支出情况，</w:t>
      </w:r>
      <w:r>
        <w:rPr>
          <w:rFonts w:ascii="Times New Roman" w:eastAsia="仿宋_GB2312" w:hAnsi="Times New Roman"/>
          <w:sz w:val="22"/>
        </w:rPr>
        <w:t>“</w:t>
      </w:r>
      <w:r>
        <w:rPr>
          <w:rFonts w:ascii="Times New Roman" w:eastAsia="仿宋_GB2312" w:hAnsi="Times New Roman"/>
          <w:sz w:val="22"/>
        </w:rPr>
        <w:t>公用经费</w:t>
      </w:r>
      <w:r>
        <w:rPr>
          <w:rFonts w:ascii="Times New Roman" w:eastAsia="仿宋_GB2312" w:hAnsi="Times New Roman"/>
          <w:sz w:val="22"/>
        </w:rPr>
        <w:t>”</w:t>
      </w:r>
      <w:r>
        <w:rPr>
          <w:rFonts w:ascii="Times New Roman" w:eastAsia="仿宋_GB2312" w:hAnsi="Times New Roman"/>
          <w:sz w:val="22"/>
        </w:rPr>
        <w:t>填报基本支出中的一般商品和服务支出。</w:t>
      </w:r>
    </w:p>
    <w:p w:rsidR="00365B06" w:rsidRDefault="00353FA0">
      <w:pPr>
        <w:widowControl/>
        <w:spacing w:line="400" w:lineRule="exact"/>
        <w:ind w:left="220" w:hangingChars="100" w:hanging="220"/>
        <w:jc w:val="left"/>
        <w:rPr>
          <w:rFonts w:ascii="Times New Roman" w:eastAsia="仿宋_GB2312" w:hAnsi="Times New Roman"/>
          <w:sz w:val="22"/>
        </w:rPr>
      </w:pPr>
      <w:r>
        <w:rPr>
          <w:rFonts w:ascii="Times New Roman" w:eastAsia="仿宋_GB2312" w:hAnsi="Times New Roman"/>
          <w:sz w:val="22"/>
        </w:rPr>
        <w:t>填表人</w:t>
      </w:r>
      <w:r>
        <w:rPr>
          <w:rFonts w:ascii="Times New Roman" w:eastAsia="仿宋_GB2312" w:hAnsi="Times New Roman" w:hint="eastAsia"/>
          <w:sz w:val="22"/>
        </w:rPr>
        <w:t>：</w:t>
      </w:r>
      <w:r>
        <w:rPr>
          <w:rFonts w:ascii="Times New Roman" w:eastAsia="仿宋_GB2312" w:hAnsi="Times New Roman"/>
          <w:sz w:val="22"/>
        </w:rPr>
        <w:t>填报日期：</w:t>
      </w:r>
      <w:r>
        <w:rPr>
          <w:rFonts w:ascii="Times New Roman" w:eastAsia="仿宋_GB2312" w:hAnsi="Times New Roman"/>
          <w:sz w:val="22"/>
        </w:rPr>
        <w:t xml:space="preserve"> </w:t>
      </w:r>
      <w:r>
        <w:rPr>
          <w:rFonts w:ascii="Times New Roman" w:eastAsia="仿宋_GB2312" w:hAnsi="Times New Roman"/>
          <w:sz w:val="22"/>
        </w:rPr>
        <w:t>联系电话：单位负责人签字：</w:t>
      </w:r>
      <w:r w:rsidR="001A267D">
        <w:rPr>
          <w:rFonts w:ascii="Times New Roman" w:eastAsia="仿宋_GB2312" w:hAnsi="Times New Roman"/>
          <w:sz w:val="22"/>
        </w:rPr>
        <w:t xml:space="preserve"> </w:t>
      </w:r>
    </w:p>
    <w:p w:rsidR="00365B06" w:rsidRDefault="00353FA0" w:rsidP="00353FA0">
      <w:pPr>
        <w:widowControl/>
        <w:spacing w:line="400" w:lineRule="exact"/>
        <w:ind w:left="320" w:hangingChars="100" w:hanging="320"/>
        <w:jc w:val="left"/>
        <w:rPr>
          <w:rFonts w:ascii="黑体" w:eastAsia="黑体" w:hAnsi="黑体" w:cs="黑体"/>
          <w:sz w:val="32"/>
          <w:szCs w:val="32"/>
        </w:rPr>
      </w:pPr>
      <w:r>
        <w:rPr>
          <w:rFonts w:ascii="黑体" w:eastAsia="黑体" w:hAnsi="黑体" w:cs="黑体" w:hint="eastAsia"/>
          <w:sz w:val="32"/>
          <w:szCs w:val="32"/>
        </w:rPr>
        <w:t>附件2</w:t>
      </w:r>
    </w:p>
    <w:p w:rsidR="00365B06" w:rsidRDefault="00353FA0" w:rsidP="00353FA0">
      <w:pPr>
        <w:widowControl/>
        <w:spacing w:afterLines="50"/>
        <w:jc w:val="center"/>
        <w:rPr>
          <w:rFonts w:ascii="方正小标宋简体" w:eastAsia="方正小标宋简体" w:hAnsi="方正小标宋简体" w:cs="方正小标宋简体"/>
          <w:color w:val="000000"/>
          <w:sz w:val="36"/>
          <w:szCs w:val="36"/>
        </w:rPr>
      </w:pPr>
      <w:r>
        <w:rPr>
          <w:rFonts w:ascii="方正小标宋简体" w:eastAsia="方正小标宋简体" w:hAnsi="方正小标宋简体" w:cs="方正小标宋简体" w:hint="eastAsia"/>
          <w:color w:val="000000"/>
          <w:sz w:val="36"/>
          <w:szCs w:val="36"/>
        </w:rPr>
        <w:lastRenderedPageBreak/>
        <w:t>2024年度部门整体支出绩效自评表</w:t>
      </w:r>
    </w:p>
    <w:tbl>
      <w:tblPr>
        <w:tblW w:w="10079" w:type="dxa"/>
        <w:jc w:val="center"/>
        <w:tblLook w:val="04A0"/>
      </w:tblPr>
      <w:tblGrid>
        <w:gridCol w:w="1080"/>
        <w:gridCol w:w="1080"/>
        <w:gridCol w:w="1034"/>
        <w:gridCol w:w="1270"/>
        <w:gridCol w:w="1311"/>
        <w:gridCol w:w="1269"/>
        <w:gridCol w:w="716"/>
        <w:gridCol w:w="916"/>
        <w:gridCol w:w="1446"/>
      </w:tblGrid>
      <w:tr w:rsidR="00365B06">
        <w:trPr>
          <w:jc w:val="center"/>
        </w:trPr>
        <w:tc>
          <w:tcPr>
            <w:tcW w:w="1080" w:type="dxa"/>
            <w:tcBorders>
              <w:top w:val="single" w:sz="4" w:space="0" w:color="auto"/>
              <w:left w:val="single" w:sz="4" w:space="0" w:color="auto"/>
              <w:bottom w:val="single" w:sz="4" w:space="0" w:color="auto"/>
              <w:right w:val="single" w:sz="4" w:space="0" w:color="auto"/>
            </w:tcBorders>
            <w:noWrap/>
            <w:vAlign w:val="center"/>
          </w:tcPr>
          <w:p w:rsidR="00365B06" w:rsidRDefault="00353FA0">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市级预算部门名称</w:t>
            </w:r>
          </w:p>
        </w:tc>
        <w:tc>
          <w:tcPr>
            <w:tcW w:w="8999" w:type="dxa"/>
            <w:gridSpan w:val="8"/>
            <w:tcBorders>
              <w:top w:val="single" w:sz="4" w:space="0" w:color="auto"/>
              <w:left w:val="nil"/>
              <w:bottom w:val="single" w:sz="4" w:space="0" w:color="auto"/>
              <w:right w:val="single" w:sz="4" w:space="0" w:color="auto"/>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共青团</w:t>
            </w:r>
            <w:proofErr w:type="gramStart"/>
            <w:r>
              <w:rPr>
                <w:rFonts w:ascii="仿宋_GB2312" w:eastAsia="仿宋_GB2312" w:hAnsi="仿宋_GB2312" w:cs="仿宋_GB2312" w:hint="eastAsia"/>
                <w:color w:val="000000"/>
                <w:sz w:val="20"/>
                <w:szCs w:val="20"/>
              </w:rPr>
              <w:t>岳阳市君山区</w:t>
            </w:r>
            <w:proofErr w:type="gramEnd"/>
            <w:r>
              <w:rPr>
                <w:rFonts w:ascii="仿宋_GB2312" w:eastAsia="仿宋_GB2312" w:hAnsi="仿宋_GB2312" w:cs="仿宋_GB2312" w:hint="eastAsia"/>
                <w:color w:val="000000"/>
                <w:sz w:val="20"/>
                <w:szCs w:val="20"/>
              </w:rPr>
              <w:t>委员会</w:t>
            </w:r>
          </w:p>
        </w:tc>
      </w:tr>
      <w:tr w:rsidR="00365B06">
        <w:trPr>
          <w:trHeight w:val="265"/>
          <w:jc w:val="center"/>
        </w:trPr>
        <w:tc>
          <w:tcPr>
            <w:tcW w:w="1080" w:type="dxa"/>
            <w:vMerge w:val="restart"/>
            <w:tcBorders>
              <w:top w:val="nil"/>
              <w:left w:val="single" w:sz="4" w:space="0" w:color="auto"/>
              <w:right w:val="single" w:sz="4" w:space="0" w:color="auto"/>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年度预</w:t>
            </w:r>
          </w:p>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算申请</w:t>
            </w:r>
          </w:p>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（万元）</w:t>
            </w:r>
          </w:p>
        </w:tc>
        <w:tc>
          <w:tcPr>
            <w:tcW w:w="2114" w:type="dxa"/>
            <w:gridSpan w:val="2"/>
            <w:tcBorders>
              <w:top w:val="nil"/>
              <w:left w:val="nil"/>
              <w:bottom w:val="single" w:sz="4" w:space="0" w:color="auto"/>
              <w:right w:val="single" w:sz="4" w:space="0" w:color="auto"/>
            </w:tcBorders>
            <w:noWrap/>
            <w:vAlign w:val="center"/>
          </w:tcPr>
          <w:p w:rsidR="00365B06" w:rsidRDefault="00365B06">
            <w:pPr>
              <w:spacing w:line="240" w:lineRule="exact"/>
              <w:jc w:val="center"/>
              <w:rPr>
                <w:rFonts w:ascii="仿宋_GB2312" w:eastAsia="仿宋_GB2312" w:hAnsi="仿宋_GB2312" w:cs="仿宋_GB2312"/>
                <w:sz w:val="20"/>
                <w:szCs w:val="20"/>
              </w:rPr>
            </w:pPr>
          </w:p>
        </w:tc>
        <w:tc>
          <w:tcPr>
            <w:tcW w:w="1270" w:type="dxa"/>
            <w:tcBorders>
              <w:top w:val="nil"/>
              <w:left w:val="nil"/>
              <w:bottom w:val="single" w:sz="4" w:space="0" w:color="auto"/>
              <w:right w:val="single" w:sz="4" w:space="0" w:color="auto"/>
            </w:tcBorders>
            <w:noWrap/>
            <w:vAlign w:val="center"/>
          </w:tcPr>
          <w:p w:rsidR="00365B06" w:rsidRDefault="00353FA0">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年初预算数</w:t>
            </w:r>
          </w:p>
        </w:tc>
        <w:tc>
          <w:tcPr>
            <w:tcW w:w="1311" w:type="dxa"/>
            <w:tcBorders>
              <w:top w:val="nil"/>
              <w:left w:val="nil"/>
              <w:bottom w:val="single" w:sz="4" w:space="0" w:color="auto"/>
              <w:right w:val="single" w:sz="4" w:space="0" w:color="auto"/>
            </w:tcBorders>
            <w:noWrap/>
            <w:vAlign w:val="center"/>
          </w:tcPr>
          <w:p w:rsidR="00365B06" w:rsidRDefault="00353FA0">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全年预算数</w:t>
            </w:r>
          </w:p>
        </w:tc>
        <w:tc>
          <w:tcPr>
            <w:tcW w:w="1269" w:type="dxa"/>
            <w:tcBorders>
              <w:top w:val="nil"/>
              <w:left w:val="nil"/>
              <w:bottom w:val="single" w:sz="4" w:space="0" w:color="auto"/>
              <w:right w:val="single" w:sz="4" w:space="0" w:color="auto"/>
            </w:tcBorders>
            <w:noWrap/>
            <w:vAlign w:val="center"/>
          </w:tcPr>
          <w:p w:rsidR="00365B06" w:rsidRDefault="00353FA0">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全年执行数</w:t>
            </w:r>
          </w:p>
        </w:tc>
        <w:tc>
          <w:tcPr>
            <w:tcW w:w="716" w:type="dxa"/>
            <w:tcBorders>
              <w:top w:val="nil"/>
              <w:left w:val="nil"/>
              <w:bottom w:val="single" w:sz="4" w:space="0" w:color="auto"/>
              <w:right w:val="single" w:sz="4" w:space="0" w:color="auto"/>
            </w:tcBorders>
            <w:noWrap/>
            <w:vAlign w:val="center"/>
          </w:tcPr>
          <w:p w:rsidR="00365B06" w:rsidRDefault="00353FA0">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分值</w:t>
            </w:r>
          </w:p>
        </w:tc>
        <w:tc>
          <w:tcPr>
            <w:tcW w:w="873" w:type="dxa"/>
            <w:tcBorders>
              <w:top w:val="nil"/>
              <w:left w:val="nil"/>
              <w:bottom w:val="single" w:sz="4" w:space="0" w:color="auto"/>
              <w:right w:val="single" w:sz="4" w:space="0" w:color="auto"/>
            </w:tcBorders>
            <w:noWrap/>
            <w:vAlign w:val="center"/>
          </w:tcPr>
          <w:p w:rsidR="00365B06" w:rsidRDefault="00353FA0">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执行率</w:t>
            </w:r>
          </w:p>
        </w:tc>
        <w:tc>
          <w:tcPr>
            <w:tcW w:w="1446" w:type="dxa"/>
            <w:tcBorders>
              <w:top w:val="nil"/>
              <w:left w:val="nil"/>
              <w:bottom w:val="single" w:sz="4" w:space="0" w:color="auto"/>
              <w:right w:val="single" w:sz="4" w:space="0" w:color="auto"/>
            </w:tcBorders>
            <w:noWrap/>
            <w:vAlign w:val="center"/>
          </w:tcPr>
          <w:p w:rsidR="00365B06" w:rsidRDefault="00353FA0">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得分</w:t>
            </w:r>
          </w:p>
        </w:tc>
      </w:tr>
      <w:tr w:rsidR="00365B06">
        <w:trPr>
          <w:jc w:val="center"/>
        </w:trPr>
        <w:tc>
          <w:tcPr>
            <w:tcW w:w="1080" w:type="dxa"/>
            <w:vMerge/>
            <w:tcBorders>
              <w:top w:val="nil"/>
              <w:left w:val="single" w:sz="4" w:space="0" w:color="auto"/>
              <w:right w:val="single" w:sz="4" w:space="0" w:color="auto"/>
            </w:tcBorders>
            <w:noWrap/>
            <w:vAlign w:val="center"/>
          </w:tcPr>
          <w:p w:rsidR="00365B06" w:rsidRDefault="00365B06">
            <w:pPr>
              <w:widowControl/>
              <w:spacing w:line="240" w:lineRule="exact"/>
              <w:jc w:val="center"/>
              <w:rPr>
                <w:rFonts w:ascii="仿宋_GB2312" w:eastAsia="仿宋_GB2312" w:hAnsi="仿宋_GB2312" w:cs="仿宋_GB2312"/>
                <w:color w:val="000000"/>
                <w:sz w:val="20"/>
                <w:szCs w:val="20"/>
              </w:rPr>
            </w:pPr>
          </w:p>
        </w:tc>
        <w:tc>
          <w:tcPr>
            <w:tcW w:w="2114" w:type="dxa"/>
            <w:gridSpan w:val="2"/>
            <w:tcBorders>
              <w:top w:val="nil"/>
              <w:left w:val="nil"/>
              <w:bottom w:val="single" w:sz="4" w:space="0" w:color="auto"/>
              <w:right w:val="single" w:sz="4" w:space="0" w:color="auto"/>
            </w:tcBorders>
            <w:noWrap/>
            <w:vAlign w:val="center"/>
          </w:tcPr>
          <w:p w:rsidR="00365B06" w:rsidRDefault="00353FA0">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color w:val="000000"/>
                <w:sz w:val="20"/>
                <w:szCs w:val="20"/>
              </w:rPr>
              <w:t>年度资金总额</w:t>
            </w:r>
          </w:p>
        </w:tc>
        <w:tc>
          <w:tcPr>
            <w:tcW w:w="1270" w:type="dxa"/>
            <w:tcBorders>
              <w:top w:val="nil"/>
              <w:left w:val="nil"/>
              <w:bottom w:val="single" w:sz="4" w:space="0" w:color="auto"/>
              <w:right w:val="single" w:sz="4" w:space="0" w:color="auto"/>
            </w:tcBorders>
            <w:noWrap/>
            <w:vAlign w:val="center"/>
          </w:tcPr>
          <w:p w:rsidR="00365B06" w:rsidRDefault="001A267D">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69.85</w:t>
            </w:r>
          </w:p>
        </w:tc>
        <w:tc>
          <w:tcPr>
            <w:tcW w:w="1311" w:type="dxa"/>
            <w:tcBorders>
              <w:top w:val="nil"/>
              <w:left w:val="nil"/>
              <w:bottom w:val="single" w:sz="4" w:space="0" w:color="auto"/>
              <w:right w:val="single" w:sz="4" w:space="0" w:color="auto"/>
            </w:tcBorders>
            <w:noWrap/>
            <w:vAlign w:val="center"/>
          </w:tcPr>
          <w:p w:rsidR="00365B06" w:rsidRDefault="001A267D">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82.68</w:t>
            </w:r>
          </w:p>
        </w:tc>
        <w:tc>
          <w:tcPr>
            <w:tcW w:w="1269" w:type="dxa"/>
            <w:tcBorders>
              <w:top w:val="nil"/>
              <w:left w:val="nil"/>
              <w:bottom w:val="single" w:sz="4" w:space="0" w:color="auto"/>
              <w:right w:val="single" w:sz="4" w:space="0" w:color="auto"/>
            </w:tcBorders>
            <w:noWrap/>
            <w:vAlign w:val="center"/>
          </w:tcPr>
          <w:p w:rsidR="00365B06" w:rsidRDefault="001A267D">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80.8</w:t>
            </w:r>
          </w:p>
        </w:tc>
        <w:tc>
          <w:tcPr>
            <w:tcW w:w="716" w:type="dxa"/>
            <w:tcBorders>
              <w:top w:val="nil"/>
              <w:left w:val="nil"/>
              <w:bottom w:val="single" w:sz="4" w:space="0" w:color="auto"/>
              <w:right w:val="single" w:sz="4" w:space="0" w:color="auto"/>
            </w:tcBorders>
            <w:noWrap/>
            <w:vAlign w:val="center"/>
          </w:tcPr>
          <w:p w:rsidR="00365B06" w:rsidRDefault="00353FA0">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10</w:t>
            </w:r>
          </w:p>
        </w:tc>
        <w:tc>
          <w:tcPr>
            <w:tcW w:w="873" w:type="dxa"/>
            <w:tcBorders>
              <w:top w:val="nil"/>
              <w:left w:val="nil"/>
              <w:bottom w:val="single" w:sz="4" w:space="0" w:color="auto"/>
              <w:right w:val="single" w:sz="4" w:space="0" w:color="auto"/>
            </w:tcBorders>
            <w:noWrap/>
            <w:vAlign w:val="center"/>
          </w:tcPr>
          <w:p w:rsidR="00365B06" w:rsidRDefault="009C0953">
            <w:pPr>
              <w:spacing w:line="240" w:lineRule="exact"/>
              <w:jc w:val="center"/>
              <w:rPr>
                <w:rFonts w:ascii="仿宋_GB2312" w:eastAsia="仿宋_GB2312" w:hAnsi="仿宋_GB2312" w:cs="仿宋_GB2312"/>
                <w:sz w:val="20"/>
                <w:szCs w:val="20"/>
              </w:rPr>
            </w:pPr>
            <w:r w:rsidRPr="009C0953">
              <w:rPr>
                <w:rFonts w:ascii="仿宋_GB2312" w:eastAsia="仿宋_GB2312" w:hAnsi="仿宋_GB2312" w:cs="仿宋_GB2312" w:hint="eastAsia"/>
                <w:sz w:val="20"/>
                <w:szCs w:val="20"/>
              </w:rPr>
              <w:t>97.73 %</w:t>
            </w:r>
          </w:p>
        </w:tc>
        <w:tc>
          <w:tcPr>
            <w:tcW w:w="1446" w:type="dxa"/>
            <w:tcBorders>
              <w:top w:val="nil"/>
              <w:left w:val="nil"/>
              <w:bottom w:val="single" w:sz="4" w:space="0" w:color="auto"/>
              <w:right w:val="single" w:sz="4" w:space="0" w:color="auto"/>
            </w:tcBorders>
            <w:noWrap/>
            <w:vAlign w:val="center"/>
          </w:tcPr>
          <w:p w:rsidR="00365B06" w:rsidRDefault="009C0953">
            <w:pPr>
              <w:spacing w:line="240" w:lineRule="exact"/>
              <w:jc w:val="center"/>
              <w:rPr>
                <w:rFonts w:ascii="仿宋_GB2312" w:eastAsia="仿宋_GB2312" w:hAnsi="仿宋_GB2312" w:cs="仿宋_GB2312"/>
                <w:sz w:val="20"/>
                <w:szCs w:val="20"/>
              </w:rPr>
            </w:pPr>
            <w:r>
              <w:rPr>
                <w:rFonts w:ascii="仿宋_GB2312" w:eastAsia="仿宋_GB2312" w:hAnsi="仿宋_GB2312" w:cs="仿宋_GB2312" w:hint="eastAsia"/>
                <w:sz w:val="20"/>
                <w:szCs w:val="20"/>
              </w:rPr>
              <w:t>9.77</w:t>
            </w:r>
          </w:p>
        </w:tc>
      </w:tr>
      <w:tr w:rsidR="00365B06">
        <w:trPr>
          <w:jc w:val="center"/>
        </w:trPr>
        <w:tc>
          <w:tcPr>
            <w:tcW w:w="1080" w:type="dxa"/>
            <w:vMerge/>
            <w:tcBorders>
              <w:left w:val="single" w:sz="4" w:space="0" w:color="auto"/>
              <w:right w:val="single" w:sz="4" w:space="0" w:color="auto"/>
            </w:tcBorders>
            <w:noWrap/>
            <w:vAlign w:val="center"/>
          </w:tcPr>
          <w:p w:rsidR="00365B06" w:rsidRDefault="00365B06">
            <w:pPr>
              <w:widowControl/>
              <w:spacing w:line="240" w:lineRule="exact"/>
              <w:jc w:val="left"/>
              <w:rPr>
                <w:rFonts w:ascii="仿宋_GB2312" w:eastAsia="仿宋_GB2312" w:hAnsi="仿宋_GB2312" w:cs="仿宋_GB2312"/>
                <w:color w:val="000000"/>
                <w:sz w:val="20"/>
                <w:szCs w:val="20"/>
              </w:rPr>
            </w:pPr>
          </w:p>
        </w:tc>
        <w:tc>
          <w:tcPr>
            <w:tcW w:w="4695" w:type="dxa"/>
            <w:gridSpan w:val="4"/>
            <w:tcBorders>
              <w:top w:val="nil"/>
              <w:left w:val="nil"/>
              <w:bottom w:val="single" w:sz="4" w:space="0" w:color="auto"/>
              <w:right w:val="single" w:sz="4" w:space="0" w:color="auto"/>
            </w:tcBorders>
            <w:noWrap/>
            <w:vAlign w:val="center"/>
          </w:tcPr>
          <w:p w:rsidR="00365B06" w:rsidRDefault="00353FA0">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按收入性质分：</w:t>
            </w:r>
          </w:p>
        </w:tc>
        <w:tc>
          <w:tcPr>
            <w:tcW w:w="4304" w:type="dxa"/>
            <w:gridSpan w:val="4"/>
            <w:tcBorders>
              <w:top w:val="nil"/>
              <w:left w:val="nil"/>
              <w:bottom w:val="single" w:sz="4" w:space="0" w:color="auto"/>
              <w:right w:val="single" w:sz="4" w:space="0" w:color="auto"/>
            </w:tcBorders>
            <w:noWrap/>
            <w:vAlign w:val="center"/>
          </w:tcPr>
          <w:p w:rsidR="00365B06" w:rsidRDefault="00353FA0">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按支出性质分：</w:t>
            </w:r>
          </w:p>
        </w:tc>
      </w:tr>
      <w:tr w:rsidR="00365B06">
        <w:trPr>
          <w:jc w:val="center"/>
        </w:trPr>
        <w:tc>
          <w:tcPr>
            <w:tcW w:w="1080" w:type="dxa"/>
            <w:vMerge/>
            <w:tcBorders>
              <w:left w:val="single" w:sz="4" w:space="0" w:color="auto"/>
              <w:right w:val="single" w:sz="4" w:space="0" w:color="auto"/>
            </w:tcBorders>
            <w:noWrap/>
            <w:vAlign w:val="center"/>
          </w:tcPr>
          <w:p w:rsidR="00365B06" w:rsidRDefault="00365B06">
            <w:pPr>
              <w:widowControl/>
              <w:spacing w:line="240" w:lineRule="exact"/>
              <w:jc w:val="left"/>
              <w:rPr>
                <w:rFonts w:ascii="仿宋_GB2312" w:eastAsia="仿宋_GB2312" w:hAnsi="仿宋_GB2312" w:cs="仿宋_GB2312"/>
                <w:color w:val="000000"/>
                <w:sz w:val="20"/>
                <w:szCs w:val="20"/>
              </w:rPr>
            </w:pPr>
          </w:p>
        </w:tc>
        <w:tc>
          <w:tcPr>
            <w:tcW w:w="4695" w:type="dxa"/>
            <w:gridSpan w:val="4"/>
            <w:tcBorders>
              <w:top w:val="nil"/>
              <w:left w:val="nil"/>
              <w:bottom w:val="single" w:sz="4" w:space="0" w:color="auto"/>
              <w:right w:val="single" w:sz="4" w:space="0" w:color="auto"/>
            </w:tcBorders>
            <w:noWrap/>
            <w:vAlign w:val="center"/>
          </w:tcPr>
          <w:p w:rsidR="00365B06" w:rsidRDefault="00353FA0">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其中：  一般公共预算：</w:t>
            </w:r>
            <w:r w:rsidR="001A267D">
              <w:rPr>
                <w:rFonts w:ascii="仿宋_GB2312" w:eastAsia="仿宋_GB2312" w:hAnsi="仿宋_GB2312" w:cs="仿宋_GB2312" w:hint="eastAsia"/>
                <w:color w:val="000000"/>
                <w:sz w:val="20"/>
                <w:szCs w:val="20"/>
              </w:rPr>
              <w:t>68.69</w:t>
            </w:r>
          </w:p>
        </w:tc>
        <w:tc>
          <w:tcPr>
            <w:tcW w:w="4304" w:type="dxa"/>
            <w:gridSpan w:val="4"/>
            <w:tcBorders>
              <w:top w:val="nil"/>
              <w:left w:val="nil"/>
              <w:bottom w:val="single" w:sz="4" w:space="0" w:color="auto"/>
              <w:right w:val="single" w:sz="4" w:space="0" w:color="auto"/>
            </w:tcBorders>
            <w:noWrap/>
            <w:vAlign w:val="center"/>
          </w:tcPr>
          <w:p w:rsidR="00365B06" w:rsidRDefault="00353FA0">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其中：基本支出：</w:t>
            </w:r>
            <w:r w:rsidR="001A267D">
              <w:rPr>
                <w:rFonts w:ascii="仿宋_GB2312" w:eastAsia="仿宋_GB2312" w:hAnsi="仿宋_GB2312" w:cs="仿宋_GB2312" w:hint="eastAsia"/>
                <w:sz w:val="20"/>
                <w:szCs w:val="20"/>
              </w:rPr>
              <w:t>80.8</w:t>
            </w:r>
          </w:p>
        </w:tc>
      </w:tr>
      <w:tr w:rsidR="00365B06">
        <w:trPr>
          <w:jc w:val="center"/>
        </w:trPr>
        <w:tc>
          <w:tcPr>
            <w:tcW w:w="1080" w:type="dxa"/>
            <w:vMerge/>
            <w:tcBorders>
              <w:left w:val="single" w:sz="4" w:space="0" w:color="auto"/>
              <w:right w:val="single" w:sz="4" w:space="0" w:color="auto"/>
            </w:tcBorders>
            <w:noWrap/>
            <w:vAlign w:val="center"/>
          </w:tcPr>
          <w:p w:rsidR="00365B06" w:rsidRDefault="00365B06">
            <w:pPr>
              <w:widowControl/>
              <w:spacing w:line="240" w:lineRule="exact"/>
              <w:jc w:val="left"/>
              <w:rPr>
                <w:rFonts w:ascii="仿宋_GB2312" w:eastAsia="仿宋_GB2312" w:hAnsi="仿宋_GB2312" w:cs="仿宋_GB2312"/>
                <w:color w:val="000000"/>
                <w:sz w:val="20"/>
                <w:szCs w:val="20"/>
              </w:rPr>
            </w:pPr>
          </w:p>
        </w:tc>
        <w:tc>
          <w:tcPr>
            <w:tcW w:w="4695" w:type="dxa"/>
            <w:gridSpan w:val="4"/>
            <w:tcBorders>
              <w:top w:val="nil"/>
              <w:left w:val="nil"/>
              <w:bottom w:val="single" w:sz="4" w:space="0" w:color="auto"/>
              <w:right w:val="single" w:sz="4" w:space="0" w:color="auto"/>
            </w:tcBorders>
            <w:noWrap/>
            <w:vAlign w:val="center"/>
          </w:tcPr>
          <w:p w:rsidR="00365B06" w:rsidRDefault="00353FA0">
            <w:pPr>
              <w:widowControl/>
              <w:spacing w:line="240" w:lineRule="exact"/>
              <w:ind w:firstLineChars="400" w:firstLine="800"/>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政府性基金拨款：0</w:t>
            </w:r>
          </w:p>
        </w:tc>
        <w:tc>
          <w:tcPr>
            <w:tcW w:w="4304" w:type="dxa"/>
            <w:gridSpan w:val="4"/>
            <w:tcBorders>
              <w:top w:val="nil"/>
              <w:left w:val="nil"/>
              <w:bottom w:val="single" w:sz="4" w:space="0" w:color="auto"/>
              <w:right w:val="single" w:sz="4" w:space="0" w:color="auto"/>
            </w:tcBorders>
            <w:noWrap/>
            <w:vAlign w:val="center"/>
          </w:tcPr>
          <w:p w:rsidR="00365B06" w:rsidRDefault="00353FA0">
            <w:pPr>
              <w:widowControl/>
              <w:spacing w:line="240" w:lineRule="exact"/>
              <w:ind w:firstLineChars="300" w:firstLine="600"/>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项目支出：</w:t>
            </w:r>
          </w:p>
        </w:tc>
      </w:tr>
      <w:tr w:rsidR="00365B06">
        <w:trPr>
          <w:jc w:val="center"/>
        </w:trPr>
        <w:tc>
          <w:tcPr>
            <w:tcW w:w="1080" w:type="dxa"/>
            <w:vMerge/>
            <w:tcBorders>
              <w:left w:val="single" w:sz="4" w:space="0" w:color="auto"/>
              <w:right w:val="single" w:sz="4" w:space="0" w:color="auto"/>
            </w:tcBorders>
            <w:noWrap/>
            <w:vAlign w:val="center"/>
          </w:tcPr>
          <w:p w:rsidR="00365B06" w:rsidRDefault="00365B06">
            <w:pPr>
              <w:widowControl/>
              <w:spacing w:line="240" w:lineRule="exact"/>
              <w:jc w:val="left"/>
              <w:rPr>
                <w:rFonts w:ascii="仿宋_GB2312" w:eastAsia="仿宋_GB2312" w:hAnsi="仿宋_GB2312" w:cs="仿宋_GB2312"/>
                <w:color w:val="000000"/>
                <w:sz w:val="20"/>
                <w:szCs w:val="20"/>
              </w:rPr>
            </w:pPr>
          </w:p>
        </w:tc>
        <w:tc>
          <w:tcPr>
            <w:tcW w:w="4695" w:type="dxa"/>
            <w:gridSpan w:val="4"/>
            <w:tcBorders>
              <w:top w:val="nil"/>
              <w:left w:val="nil"/>
              <w:bottom w:val="single" w:sz="4" w:space="0" w:color="auto"/>
              <w:right w:val="single" w:sz="4" w:space="0" w:color="auto"/>
            </w:tcBorders>
            <w:noWrap/>
            <w:vAlign w:val="center"/>
          </w:tcPr>
          <w:p w:rsidR="00365B06" w:rsidRDefault="00353FA0">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纳入专户管理的非税收入拨款：</w:t>
            </w:r>
          </w:p>
        </w:tc>
        <w:tc>
          <w:tcPr>
            <w:tcW w:w="4304" w:type="dxa"/>
            <w:gridSpan w:val="4"/>
            <w:tcBorders>
              <w:top w:val="nil"/>
              <w:left w:val="nil"/>
              <w:bottom w:val="single" w:sz="4" w:space="0" w:color="auto"/>
              <w:right w:val="single" w:sz="4" w:space="0" w:color="auto"/>
            </w:tcBorders>
            <w:noWrap/>
            <w:vAlign w:val="center"/>
          </w:tcPr>
          <w:p w:rsidR="00365B06" w:rsidRDefault="00365B06">
            <w:pPr>
              <w:widowControl/>
              <w:spacing w:line="240" w:lineRule="exact"/>
              <w:jc w:val="left"/>
              <w:rPr>
                <w:rFonts w:ascii="仿宋_GB2312" w:eastAsia="仿宋_GB2312" w:hAnsi="仿宋_GB2312" w:cs="仿宋_GB2312"/>
                <w:color w:val="000000"/>
                <w:sz w:val="20"/>
                <w:szCs w:val="20"/>
              </w:rPr>
            </w:pPr>
          </w:p>
        </w:tc>
      </w:tr>
      <w:tr w:rsidR="00365B06">
        <w:trPr>
          <w:jc w:val="center"/>
        </w:trPr>
        <w:tc>
          <w:tcPr>
            <w:tcW w:w="1080" w:type="dxa"/>
            <w:vMerge/>
            <w:tcBorders>
              <w:left w:val="single" w:sz="4" w:space="0" w:color="auto"/>
              <w:bottom w:val="single" w:sz="4" w:space="0" w:color="000000"/>
              <w:right w:val="single" w:sz="4" w:space="0" w:color="auto"/>
            </w:tcBorders>
            <w:noWrap/>
            <w:vAlign w:val="center"/>
          </w:tcPr>
          <w:p w:rsidR="00365B06" w:rsidRDefault="00365B06">
            <w:pPr>
              <w:widowControl/>
              <w:spacing w:line="240" w:lineRule="exact"/>
              <w:jc w:val="left"/>
              <w:rPr>
                <w:rFonts w:ascii="仿宋_GB2312" w:eastAsia="仿宋_GB2312" w:hAnsi="仿宋_GB2312" w:cs="仿宋_GB2312"/>
                <w:color w:val="000000"/>
                <w:sz w:val="20"/>
                <w:szCs w:val="20"/>
              </w:rPr>
            </w:pPr>
          </w:p>
        </w:tc>
        <w:tc>
          <w:tcPr>
            <w:tcW w:w="4695" w:type="dxa"/>
            <w:gridSpan w:val="4"/>
            <w:tcBorders>
              <w:top w:val="nil"/>
              <w:left w:val="nil"/>
              <w:bottom w:val="single" w:sz="4" w:space="0" w:color="auto"/>
              <w:right w:val="single" w:sz="4" w:space="0" w:color="auto"/>
            </w:tcBorders>
            <w:noWrap/>
            <w:vAlign w:val="center"/>
          </w:tcPr>
          <w:p w:rsidR="00365B06" w:rsidRDefault="00353FA0">
            <w:pPr>
              <w:widowControl/>
              <w:spacing w:line="240" w:lineRule="exact"/>
              <w:ind w:firstLineChars="700" w:firstLine="1400"/>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其他资金：</w:t>
            </w:r>
            <w:r w:rsidR="001A267D">
              <w:rPr>
                <w:rFonts w:ascii="仿宋_GB2312" w:eastAsia="仿宋_GB2312" w:hAnsi="仿宋_GB2312" w:cs="仿宋_GB2312" w:hint="eastAsia"/>
                <w:color w:val="000000"/>
                <w:sz w:val="20"/>
                <w:szCs w:val="20"/>
              </w:rPr>
              <w:t>12.1</w:t>
            </w:r>
            <w:r w:rsidR="005D1DA9">
              <w:rPr>
                <w:rFonts w:ascii="仿宋_GB2312" w:eastAsia="仿宋_GB2312" w:hAnsi="仿宋_GB2312" w:cs="仿宋_GB2312" w:hint="eastAsia"/>
                <w:color w:val="000000"/>
                <w:sz w:val="20"/>
                <w:szCs w:val="20"/>
              </w:rPr>
              <w:t>1</w:t>
            </w:r>
          </w:p>
        </w:tc>
        <w:tc>
          <w:tcPr>
            <w:tcW w:w="4304" w:type="dxa"/>
            <w:gridSpan w:val="4"/>
            <w:tcBorders>
              <w:top w:val="nil"/>
              <w:left w:val="nil"/>
              <w:bottom w:val="single" w:sz="4" w:space="0" w:color="auto"/>
              <w:right w:val="single" w:sz="4" w:space="0" w:color="auto"/>
            </w:tcBorders>
            <w:noWrap/>
            <w:vAlign w:val="center"/>
          </w:tcPr>
          <w:p w:rsidR="00365B06" w:rsidRDefault="00365B06">
            <w:pPr>
              <w:widowControl/>
              <w:spacing w:line="240" w:lineRule="exact"/>
              <w:jc w:val="left"/>
              <w:rPr>
                <w:rFonts w:ascii="仿宋_GB2312" w:eastAsia="仿宋_GB2312" w:hAnsi="仿宋_GB2312" w:cs="仿宋_GB2312"/>
                <w:color w:val="000000"/>
                <w:sz w:val="20"/>
                <w:szCs w:val="20"/>
              </w:rPr>
            </w:pPr>
          </w:p>
        </w:tc>
      </w:tr>
      <w:tr w:rsidR="00365B06">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年度总体目标</w:t>
            </w:r>
          </w:p>
        </w:tc>
        <w:tc>
          <w:tcPr>
            <w:tcW w:w="4695" w:type="dxa"/>
            <w:gridSpan w:val="4"/>
            <w:tcBorders>
              <w:top w:val="single" w:sz="4" w:space="0" w:color="auto"/>
              <w:left w:val="nil"/>
              <w:bottom w:val="single" w:sz="4" w:space="0" w:color="auto"/>
              <w:right w:val="single" w:sz="4" w:space="0" w:color="000000"/>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预期目标</w:t>
            </w:r>
          </w:p>
        </w:tc>
        <w:tc>
          <w:tcPr>
            <w:tcW w:w="4304" w:type="dxa"/>
            <w:gridSpan w:val="4"/>
            <w:tcBorders>
              <w:top w:val="single" w:sz="4" w:space="0" w:color="auto"/>
              <w:left w:val="nil"/>
              <w:bottom w:val="single" w:sz="4" w:space="0" w:color="auto"/>
              <w:right w:val="single" w:sz="4" w:space="0" w:color="auto"/>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实际完成情况　</w:t>
            </w:r>
          </w:p>
        </w:tc>
      </w:tr>
      <w:tr w:rsidR="00365B06">
        <w:trPr>
          <w:jc w:val="center"/>
        </w:trPr>
        <w:tc>
          <w:tcPr>
            <w:tcW w:w="1080" w:type="dxa"/>
            <w:vMerge/>
            <w:tcBorders>
              <w:top w:val="nil"/>
              <w:left w:val="single" w:sz="4" w:space="0" w:color="auto"/>
              <w:bottom w:val="single" w:sz="4" w:space="0" w:color="000000"/>
              <w:right w:val="single" w:sz="4" w:space="0" w:color="auto"/>
            </w:tcBorders>
            <w:noWrap/>
            <w:vAlign w:val="center"/>
          </w:tcPr>
          <w:p w:rsidR="00365B06" w:rsidRDefault="00365B06">
            <w:pPr>
              <w:widowControl/>
              <w:spacing w:line="240" w:lineRule="exact"/>
              <w:jc w:val="left"/>
              <w:rPr>
                <w:rFonts w:ascii="仿宋_GB2312" w:eastAsia="仿宋_GB2312" w:hAnsi="仿宋_GB2312" w:cs="仿宋_GB2312"/>
                <w:color w:val="000000"/>
                <w:sz w:val="20"/>
                <w:szCs w:val="20"/>
              </w:rPr>
            </w:pPr>
          </w:p>
        </w:tc>
        <w:tc>
          <w:tcPr>
            <w:tcW w:w="4695" w:type="dxa"/>
            <w:gridSpan w:val="4"/>
            <w:tcBorders>
              <w:top w:val="single" w:sz="4" w:space="0" w:color="auto"/>
              <w:left w:val="nil"/>
              <w:bottom w:val="single" w:sz="4" w:space="0" w:color="auto"/>
              <w:right w:val="single" w:sz="4" w:space="0" w:color="000000"/>
            </w:tcBorders>
            <w:noWrap/>
            <w:vAlign w:val="center"/>
          </w:tcPr>
          <w:p w:rsidR="001A267D" w:rsidRPr="001A267D" w:rsidRDefault="001A267D" w:rsidP="001A267D">
            <w:pPr>
              <w:widowControl/>
              <w:spacing w:line="240" w:lineRule="exact"/>
              <w:jc w:val="left"/>
              <w:rPr>
                <w:rFonts w:ascii="仿宋_GB2312" w:eastAsia="仿宋_GB2312" w:hAnsi="仿宋_GB2312" w:cs="仿宋_GB2312"/>
                <w:color w:val="000000"/>
                <w:sz w:val="20"/>
                <w:szCs w:val="20"/>
              </w:rPr>
            </w:pPr>
            <w:r w:rsidRPr="001A267D">
              <w:rPr>
                <w:rFonts w:ascii="仿宋_GB2312" w:eastAsia="仿宋_GB2312" w:hAnsi="仿宋_GB2312" w:cs="仿宋_GB2312" w:hint="eastAsia"/>
                <w:color w:val="000000"/>
                <w:sz w:val="20"/>
                <w:szCs w:val="20"/>
              </w:rPr>
              <w:t>一、强化思想政治引领，</w:t>
            </w:r>
            <w:proofErr w:type="gramStart"/>
            <w:r w:rsidRPr="001A267D">
              <w:rPr>
                <w:rFonts w:ascii="仿宋_GB2312" w:eastAsia="仿宋_GB2312" w:hAnsi="仿宋_GB2312" w:cs="仿宋_GB2312" w:hint="eastAsia"/>
                <w:color w:val="000000"/>
                <w:sz w:val="20"/>
                <w:szCs w:val="20"/>
              </w:rPr>
              <w:t>坚持不懈用习近</w:t>
            </w:r>
            <w:proofErr w:type="gramEnd"/>
            <w:r w:rsidRPr="001A267D">
              <w:rPr>
                <w:rFonts w:ascii="仿宋_GB2312" w:eastAsia="仿宋_GB2312" w:hAnsi="仿宋_GB2312" w:cs="仿宋_GB2312" w:hint="eastAsia"/>
                <w:color w:val="000000"/>
                <w:sz w:val="20"/>
                <w:szCs w:val="20"/>
              </w:rPr>
              <w:t>平新时代中国特色社会主义思想武装头脑、指导实践、教育青年</w:t>
            </w:r>
          </w:p>
          <w:p w:rsidR="001A267D" w:rsidRPr="001A267D" w:rsidRDefault="001A267D" w:rsidP="001A267D">
            <w:pPr>
              <w:widowControl/>
              <w:spacing w:line="240" w:lineRule="exact"/>
              <w:jc w:val="left"/>
              <w:rPr>
                <w:rFonts w:ascii="仿宋_GB2312" w:eastAsia="仿宋_GB2312" w:hAnsi="仿宋_GB2312" w:cs="仿宋_GB2312"/>
                <w:color w:val="000000"/>
                <w:sz w:val="20"/>
                <w:szCs w:val="20"/>
              </w:rPr>
            </w:pPr>
            <w:r w:rsidRPr="001A267D">
              <w:rPr>
                <w:rFonts w:ascii="仿宋_GB2312" w:eastAsia="仿宋_GB2312" w:hAnsi="仿宋_GB2312" w:cs="仿宋_GB2312" w:hint="eastAsia"/>
                <w:color w:val="000000"/>
                <w:sz w:val="20"/>
                <w:szCs w:val="20"/>
              </w:rPr>
              <w:t>二、坚持围绕中心服务大局，引领广大青年在建设精致精美出新出彩的洞庭明珠征程中团结奋斗</w:t>
            </w:r>
          </w:p>
          <w:p w:rsidR="00365B06" w:rsidRDefault="001A267D" w:rsidP="001A267D">
            <w:pPr>
              <w:widowControl/>
              <w:spacing w:line="240" w:lineRule="exact"/>
              <w:jc w:val="left"/>
              <w:rPr>
                <w:rFonts w:ascii="仿宋_GB2312" w:eastAsia="仿宋_GB2312" w:hAnsi="仿宋_GB2312" w:cs="仿宋_GB2312"/>
                <w:color w:val="000000"/>
                <w:sz w:val="20"/>
                <w:szCs w:val="20"/>
              </w:rPr>
            </w:pPr>
            <w:r w:rsidRPr="001A267D">
              <w:rPr>
                <w:rFonts w:ascii="仿宋_GB2312" w:eastAsia="仿宋_GB2312" w:hAnsi="仿宋_GB2312" w:cs="仿宋_GB2312" w:hint="eastAsia"/>
                <w:color w:val="000000"/>
                <w:sz w:val="20"/>
                <w:szCs w:val="20"/>
              </w:rPr>
              <w:t>三、全面从严治团，树立新时代君山共青团的良好形象</w:t>
            </w:r>
          </w:p>
        </w:tc>
        <w:tc>
          <w:tcPr>
            <w:tcW w:w="4304" w:type="dxa"/>
            <w:gridSpan w:val="4"/>
            <w:tcBorders>
              <w:top w:val="single" w:sz="4" w:space="0" w:color="auto"/>
              <w:left w:val="nil"/>
              <w:bottom w:val="single" w:sz="4" w:space="0" w:color="auto"/>
              <w:right w:val="single" w:sz="4" w:space="0" w:color="auto"/>
            </w:tcBorders>
            <w:noWrap/>
          </w:tcPr>
          <w:p w:rsidR="00365B06" w:rsidRDefault="000111FF" w:rsidP="000111FF">
            <w:pPr>
              <w:pStyle w:val="a5"/>
              <w:widowControl/>
              <w:spacing w:line="27" w:lineRule="atLeast"/>
              <w:ind w:firstLineChars="240" w:firstLine="480"/>
              <w:rPr>
                <w:rFonts w:ascii="仿宋_GB2312" w:eastAsia="仿宋_GB2312" w:hAnsi="仿宋_GB2312" w:cs="仿宋_GB2312"/>
                <w:color w:val="000000"/>
                <w:sz w:val="20"/>
                <w:szCs w:val="20"/>
              </w:rPr>
            </w:pPr>
            <w:r w:rsidRPr="000111FF">
              <w:rPr>
                <w:rFonts w:ascii="仿宋_GB2312" w:eastAsia="仿宋_GB2312" w:hAnsi="仿宋_GB2312" w:cs="仿宋_GB2312"/>
                <w:color w:val="000000"/>
                <w:sz w:val="20"/>
                <w:szCs w:val="20"/>
              </w:rPr>
              <w:t>在今年的防汛抗灾工作中，团区委积极整合资源，第一时间募集到价值四万余元的物资送到防汛前线，组织</w:t>
            </w:r>
            <w:proofErr w:type="gramStart"/>
            <w:r w:rsidRPr="000111FF">
              <w:rPr>
                <w:rFonts w:ascii="仿宋_GB2312" w:eastAsia="仿宋_GB2312" w:hAnsi="仿宋_GB2312" w:cs="仿宋_GB2312"/>
                <w:color w:val="000000"/>
                <w:sz w:val="20"/>
                <w:szCs w:val="20"/>
              </w:rPr>
              <w:t>50余名君</w:t>
            </w:r>
            <w:proofErr w:type="gramEnd"/>
            <w:r w:rsidRPr="000111FF">
              <w:rPr>
                <w:rFonts w:ascii="仿宋_GB2312" w:eastAsia="仿宋_GB2312" w:hAnsi="仿宋_GB2312" w:cs="仿宋_GB2312"/>
                <w:color w:val="000000"/>
                <w:sz w:val="20"/>
                <w:szCs w:val="20"/>
              </w:rPr>
              <w:t>山籍大学生加入志愿者防汛队伍，勇挑重担。三是在志愿服务中展现青春风采。全年共组织参与了君山区2024年“春风行动”现场招聘会、长江流域“守护好一江碧水”青少年生态环保联合行动暨2024年湖南省“美丽中国·青春行动”、岳阳马拉松赛事、“河小青”净滩、“6.26国际禁毒日”、2024年中国户外健身休闲大会暨岳阳市职工</w:t>
            </w:r>
            <w:proofErr w:type="gramStart"/>
            <w:r w:rsidRPr="000111FF">
              <w:rPr>
                <w:rFonts w:ascii="仿宋_GB2312" w:eastAsia="仿宋_GB2312" w:hAnsi="仿宋_GB2312" w:cs="仿宋_GB2312"/>
                <w:color w:val="000000"/>
                <w:sz w:val="20"/>
                <w:szCs w:val="20"/>
              </w:rPr>
              <w:t>健康跑</w:t>
            </w:r>
            <w:proofErr w:type="gramEnd"/>
            <w:r w:rsidRPr="000111FF">
              <w:rPr>
                <w:rFonts w:ascii="仿宋_GB2312" w:eastAsia="仿宋_GB2312" w:hAnsi="仿宋_GB2312" w:cs="仿宋_GB2312"/>
                <w:color w:val="000000"/>
                <w:sz w:val="20"/>
                <w:szCs w:val="20"/>
              </w:rPr>
              <w:t>等大型志愿活动20余场，每场活动均取得省市区委领导及活动主办方的认可及点赞。</w:t>
            </w:r>
          </w:p>
        </w:tc>
      </w:tr>
      <w:tr w:rsidR="00365B06">
        <w:trPr>
          <w:jc w:val="center"/>
        </w:trPr>
        <w:tc>
          <w:tcPr>
            <w:tcW w:w="1080" w:type="dxa"/>
            <w:vMerge w:val="restart"/>
            <w:tcBorders>
              <w:top w:val="nil"/>
              <w:left w:val="single" w:sz="4" w:space="0" w:color="auto"/>
              <w:right w:val="single" w:sz="4" w:space="0" w:color="auto"/>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proofErr w:type="gramStart"/>
            <w:r>
              <w:rPr>
                <w:rFonts w:ascii="仿宋_GB2312" w:eastAsia="仿宋_GB2312" w:hAnsi="仿宋_GB2312" w:cs="仿宋_GB2312" w:hint="eastAsia"/>
                <w:color w:val="000000"/>
                <w:sz w:val="20"/>
                <w:szCs w:val="20"/>
              </w:rPr>
              <w:t>绩</w:t>
            </w:r>
            <w:proofErr w:type="gramEnd"/>
          </w:p>
          <w:p w:rsidR="00365B06" w:rsidRDefault="00353FA0">
            <w:pPr>
              <w:widowControl/>
              <w:spacing w:line="240" w:lineRule="exact"/>
              <w:jc w:val="center"/>
              <w:rPr>
                <w:rFonts w:ascii="仿宋_GB2312" w:eastAsia="仿宋_GB2312" w:hAnsi="仿宋_GB2312" w:cs="仿宋_GB2312"/>
                <w:color w:val="000000"/>
                <w:sz w:val="20"/>
                <w:szCs w:val="20"/>
              </w:rPr>
            </w:pPr>
            <w:proofErr w:type="gramStart"/>
            <w:r>
              <w:rPr>
                <w:rFonts w:ascii="仿宋_GB2312" w:eastAsia="仿宋_GB2312" w:hAnsi="仿宋_GB2312" w:cs="仿宋_GB2312" w:hint="eastAsia"/>
                <w:color w:val="000000"/>
                <w:sz w:val="20"/>
                <w:szCs w:val="20"/>
              </w:rPr>
              <w:t>效</w:t>
            </w:r>
            <w:proofErr w:type="gramEnd"/>
          </w:p>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指</w:t>
            </w:r>
          </w:p>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标</w:t>
            </w:r>
          </w:p>
          <w:p w:rsidR="00365B06" w:rsidRDefault="00365B06">
            <w:pPr>
              <w:widowControl/>
              <w:spacing w:line="240" w:lineRule="exact"/>
              <w:jc w:val="center"/>
              <w:rPr>
                <w:rFonts w:ascii="仿宋_GB2312" w:eastAsia="仿宋_GB2312" w:hAnsi="仿宋_GB2312" w:cs="仿宋_GB2312"/>
                <w:color w:val="000000"/>
                <w:sz w:val="20"/>
                <w:szCs w:val="20"/>
              </w:rPr>
            </w:pPr>
          </w:p>
        </w:tc>
        <w:tc>
          <w:tcPr>
            <w:tcW w:w="1080" w:type="dxa"/>
            <w:tcBorders>
              <w:top w:val="nil"/>
              <w:left w:val="nil"/>
              <w:bottom w:val="single" w:sz="4" w:space="0" w:color="auto"/>
              <w:right w:val="single" w:sz="4" w:space="0" w:color="auto"/>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一级指标</w:t>
            </w:r>
          </w:p>
        </w:tc>
        <w:tc>
          <w:tcPr>
            <w:tcW w:w="1034" w:type="dxa"/>
            <w:tcBorders>
              <w:top w:val="nil"/>
              <w:left w:val="nil"/>
              <w:bottom w:val="single" w:sz="4" w:space="0" w:color="auto"/>
              <w:right w:val="single" w:sz="4" w:space="0" w:color="auto"/>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二级指标</w:t>
            </w:r>
          </w:p>
        </w:tc>
        <w:tc>
          <w:tcPr>
            <w:tcW w:w="1270" w:type="dxa"/>
            <w:tcBorders>
              <w:top w:val="nil"/>
              <w:left w:val="nil"/>
              <w:bottom w:val="single" w:sz="4" w:space="0" w:color="auto"/>
              <w:right w:val="single" w:sz="4" w:space="0" w:color="auto"/>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三级指标</w:t>
            </w:r>
          </w:p>
        </w:tc>
        <w:tc>
          <w:tcPr>
            <w:tcW w:w="1311" w:type="dxa"/>
            <w:tcBorders>
              <w:top w:val="nil"/>
              <w:left w:val="nil"/>
              <w:bottom w:val="single" w:sz="4" w:space="0" w:color="auto"/>
              <w:right w:val="single" w:sz="4" w:space="0" w:color="auto"/>
            </w:tcBorders>
            <w:noWrap/>
            <w:vAlign w:val="center"/>
          </w:tcPr>
          <w:p w:rsidR="00365B06" w:rsidRDefault="00353FA0">
            <w:pPr>
              <w:widowControl/>
              <w:spacing w:line="240" w:lineRule="exac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年度指标值</w:t>
            </w:r>
          </w:p>
        </w:tc>
        <w:tc>
          <w:tcPr>
            <w:tcW w:w="1269" w:type="dxa"/>
            <w:tcBorders>
              <w:top w:val="nil"/>
              <w:left w:val="nil"/>
              <w:bottom w:val="single" w:sz="4" w:space="0" w:color="auto"/>
              <w:right w:val="single" w:sz="4" w:space="0" w:color="auto"/>
            </w:tcBorders>
            <w:noWrap/>
            <w:vAlign w:val="center"/>
          </w:tcPr>
          <w:p w:rsidR="00365B06" w:rsidRDefault="00353FA0">
            <w:pPr>
              <w:widowControl/>
              <w:spacing w:line="240" w:lineRule="exac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实际完成值</w:t>
            </w:r>
          </w:p>
        </w:tc>
        <w:tc>
          <w:tcPr>
            <w:tcW w:w="716" w:type="dxa"/>
            <w:tcBorders>
              <w:top w:val="nil"/>
              <w:left w:val="nil"/>
              <w:bottom w:val="single" w:sz="4" w:space="0" w:color="auto"/>
              <w:right w:val="single" w:sz="4" w:space="0" w:color="auto"/>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分值</w:t>
            </w:r>
          </w:p>
        </w:tc>
        <w:tc>
          <w:tcPr>
            <w:tcW w:w="873" w:type="dxa"/>
            <w:tcBorders>
              <w:top w:val="nil"/>
              <w:left w:val="nil"/>
              <w:bottom w:val="single" w:sz="4" w:space="0" w:color="auto"/>
              <w:right w:val="single" w:sz="4" w:space="0" w:color="auto"/>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得分</w:t>
            </w:r>
          </w:p>
        </w:tc>
        <w:tc>
          <w:tcPr>
            <w:tcW w:w="1446" w:type="dxa"/>
            <w:tcBorders>
              <w:top w:val="nil"/>
              <w:left w:val="nil"/>
              <w:bottom w:val="single" w:sz="4" w:space="0" w:color="auto"/>
              <w:right w:val="single" w:sz="4" w:space="0" w:color="auto"/>
            </w:tcBorders>
            <w:noWrap/>
            <w:vAlign w:val="center"/>
          </w:tcPr>
          <w:p w:rsidR="00365B06" w:rsidRDefault="00353FA0">
            <w:pPr>
              <w:widowControl/>
              <w:spacing w:line="240" w:lineRule="exac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偏差原因分析及改进措施</w:t>
            </w:r>
          </w:p>
        </w:tc>
      </w:tr>
      <w:tr w:rsidR="005D1DA9" w:rsidTr="00460FAB">
        <w:trPr>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vMerge w:val="restart"/>
            <w:tcBorders>
              <w:top w:val="nil"/>
              <w:left w:val="nil"/>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产出指标</w:t>
            </w:r>
          </w:p>
          <w:p w:rsidR="005D1DA9" w:rsidRDefault="005D1DA9">
            <w:pPr>
              <w:widowControl/>
              <w:spacing w:line="240" w:lineRule="exact"/>
              <w:jc w:val="center"/>
              <w:rPr>
                <w:rFonts w:ascii="仿宋_GB2312" w:eastAsia="仿宋_GB2312" w:hAnsi="仿宋_GB2312" w:cs="仿宋_GB2312"/>
                <w:color w:val="000000"/>
                <w:sz w:val="20"/>
                <w:szCs w:val="20"/>
              </w:rPr>
            </w:pPr>
          </w:p>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(50分)</w:t>
            </w:r>
          </w:p>
        </w:tc>
        <w:tc>
          <w:tcPr>
            <w:tcW w:w="1034" w:type="dxa"/>
            <w:vMerge w:val="restart"/>
            <w:tcBorders>
              <w:top w:val="nil"/>
              <w:left w:val="nil"/>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数量指标</w:t>
            </w:r>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关爱帮扶困难学子</w:t>
            </w:r>
          </w:p>
        </w:tc>
        <w:tc>
          <w:tcPr>
            <w:tcW w:w="1311"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≥20人</w:t>
            </w:r>
          </w:p>
        </w:tc>
        <w:tc>
          <w:tcPr>
            <w:tcW w:w="1269"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≥20人</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1446" w:type="dxa"/>
            <w:tcBorders>
              <w:top w:val="nil"/>
              <w:left w:val="nil"/>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无偏差</w:t>
            </w:r>
          </w:p>
        </w:tc>
      </w:tr>
      <w:tr w:rsidR="005D1DA9" w:rsidTr="00460FAB">
        <w:trPr>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vMerge/>
            <w:tcBorders>
              <w:left w:val="nil"/>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34" w:type="dxa"/>
            <w:vMerge/>
            <w:tcBorders>
              <w:left w:val="nil"/>
              <w:right w:val="single" w:sz="4" w:space="0" w:color="auto"/>
            </w:tcBorders>
            <w:noWrap/>
            <w:vAlign w:val="center"/>
          </w:tcPr>
          <w:p w:rsidR="005D1DA9" w:rsidRDefault="005D1DA9">
            <w:pPr>
              <w:spacing w:line="240" w:lineRule="exact"/>
              <w:jc w:val="center"/>
              <w:rPr>
                <w:rFonts w:ascii="仿宋_GB2312" w:eastAsia="仿宋_GB2312" w:hAnsi="仿宋_GB2312" w:cs="仿宋_GB2312"/>
                <w:color w:val="000000"/>
                <w:sz w:val="20"/>
                <w:szCs w:val="20"/>
              </w:rPr>
            </w:pPr>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sidRPr="000111FF">
              <w:rPr>
                <w:rFonts w:ascii="仿宋_GB2312" w:eastAsia="仿宋_GB2312" w:hAnsi="仿宋_GB2312" w:cs="仿宋_GB2312"/>
                <w:color w:val="000000"/>
                <w:sz w:val="20"/>
                <w:szCs w:val="20"/>
              </w:rPr>
              <w:t>职工</w:t>
            </w:r>
            <w:proofErr w:type="gramStart"/>
            <w:r w:rsidRPr="000111FF">
              <w:rPr>
                <w:rFonts w:ascii="仿宋_GB2312" w:eastAsia="仿宋_GB2312" w:hAnsi="仿宋_GB2312" w:cs="仿宋_GB2312"/>
                <w:color w:val="000000"/>
                <w:sz w:val="20"/>
                <w:szCs w:val="20"/>
              </w:rPr>
              <w:t>健康跑</w:t>
            </w:r>
            <w:proofErr w:type="gramEnd"/>
            <w:r w:rsidRPr="000111FF">
              <w:rPr>
                <w:rFonts w:ascii="仿宋_GB2312" w:eastAsia="仿宋_GB2312" w:hAnsi="仿宋_GB2312" w:cs="仿宋_GB2312"/>
                <w:color w:val="000000"/>
                <w:sz w:val="20"/>
                <w:szCs w:val="20"/>
              </w:rPr>
              <w:t>等大型志愿活动</w:t>
            </w:r>
          </w:p>
        </w:tc>
        <w:tc>
          <w:tcPr>
            <w:tcW w:w="1311"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≥20次</w:t>
            </w:r>
          </w:p>
        </w:tc>
        <w:tc>
          <w:tcPr>
            <w:tcW w:w="1269"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≥20次</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1446" w:type="dxa"/>
            <w:tcBorders>
              <w:top w:val="nil"/>
              <w:left w:val="nil"/>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无偏差</w:t>
            </w:r>
          </w:p>
        </w:tc>
      </w:tr>
      <w:tr w:rsidR="005D1DA9" w:rsidTr="00460FAB">
        <w:trPr>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vMerge/>
            <w:tcBorders>
              <w:left w:val="nil"/>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34" w:type="dxa"/>
            <w:vMerge/>
            <w:tcBorders>
              <w:left w:val="nil"/>
              <w:right w:val="single" w:sz="4" w:space="0" w:color="auto"/>
            </w:tcBorders>
            <w:noWrap/>
            <w:vAlign w:val="center"/>
          </w:tcPr>
          <w:p w:rsidR="005D1DA9" w:rsidRDefault="005D1DA9">
            <w:pPr>
              <w:spacing w:line="240" w:lineRule="exact"/>
              <w:jc w:val="center"/>
              <w:rPr>
                <w:rFonts w:ascii="仿宋_GB2312" w:eastAsia="仿宋_GB2312" w:hAnsi="仿宋_GB2312" w:cs="仿宋_GB2312"/>
                <w:color w:val="000000"/>
                <w:sz w:val="20"/>
                <w:szCs w:val="20"/>
              </w:rPr>
            </w:pPr>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加强团员队伍建设</w:t>
            </w:r>
          </w:p>
        </w:tc>
        <w:tc>
          <w:tcPr>
            <w:tcW w:w="1311"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≥95%</w:t>
            </w:r>
          </w:p>
        </w:tc>
        <w:tc>
          <w:tcPr>
            <w:tcW w:w="1269"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≥95%</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1446" w:type="dxa"/>
            <w:tcBorders>
              <w:top w:val="nil"/>
              <w:left w:val="nil"/>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无偏差</w:t>
            </w:r>
          </w:p>
        </w:tc>
      </w:tr>
      <w:tr w:rsidR="005D1DA9" w:rsidTr="00460FAB">
        <w:trPr>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vMerge/>
            <w:tcBorders>
              <w:left w:val="nil"/>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34" w:type="dxa"/>
            <w:vMerge w:val="restart"/>
            <w:tcBorders>
              <w:top w:val="nil"/>
              <w:left w:val="nil"/>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质量指标</w:t>
            </w:r>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团组织规范化建设</w:t>
            </w:r>
          </w:p>
        </w:tc>
        <w:tc>
          <w:tcPr>
            <w:tcW w:w="1311"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≥95%</w:t>
            </w:r>
          </w:p>
        </w:tc>
        <w:tc>
          <w:tcPr>
            <w:tcW w:w="1269"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≥95%</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1446" w:type="dxa"/>
            <w:tcBorders>
              <w:top w:val="nil"/>
              <w:left w:val="nil"/>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无偏差</w:t>
            </w:r>
          </w:p>
        </w:tc>
      </w:tr>
      <w:tr w:rsidR="005D1DA9" w:rsidTr="00460FAB">
        <w:trPr>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vMerge/>
            <w:tcBorders>
              <w:left w:val="nil"/>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34" w:type="dxa"/>
            <w:vMerge/>
            <w:tcBorders>
              <w:left w:val="nil"/>
              <w:right w:val="single" w:sz="4" w:space="0" w:color="auto"/>
            </w:tcBorders>
            <w:noWrap/>
            <w:vAlign w:val="center"/>
          </w:tcPr>
          <w:p w:rsidR="005D1DA9" w:rsidRDefault="005D1DA9">
            <w:pPr>
              <w:spacing w:line="240" w:lineRule="exact"/>
              <w:jc w:val="center"/>
              <w:rPr>
                <w:rFonts w:ascii="仿宋_GB2312" w:eastAsia="仿宋_GB2312" w:hAnsi="仿宋_GB2312" w:cs="仿宋_GB2312"/>
                <w:color w:val="000000"/>
                <w:sz w:val="20"/>
                <w:szCs w:val="20"/>
              </w:rPr>
            </w:pPr>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学社衔接率</w:t>
            </w:r>
          </w:p>
        </w:tc>
        <w:tc>
          <w:tcPr>
            <w:tcW w:w="1311"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≥95%</w:t>
            </w:r>
          </w:p>
        </w:tc>
        <w:tc>
          <w:tcPr>
            <w:tcW w:w="1269"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≥95%</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1446" w:type="dxa"/>
            <w:tcBorders>
              <w:top w:val="nil"/>
              <w:left w:val="nil"/>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无偏差</w:t>
            </w:r>
          </w:p>
        </w:tc>
      </w:tr>
      <w:tr w:rsidR="005D1DA9" w:rsidTr="00460FAB">
        <w:trPr>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vMerge/>
            <w:tcBorders>
              <w:left w:val="nil"/>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34" w:type="dxa"/>
            <w:vMerge/>
            <w:tcBorders>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团员参与率</w:t>
            </w:r>
          </w:p>
        </w:tc>
        <w:tc>
          <w:tcPr>
            <w:tcW w:w="1311"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＝100%</w:t>
            </w:r>
          </w:p>
        </w:tc>
        <w:tc>
          <w:tcPr>
            <w:tcW w:w="1269"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＝100%</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w:t>
            </w:r>
          </w:p>
        </w:tc>
        <w:tc>
          <w:tcPr>
            <w:tcW w:w="1446" w:type="dxa"/>
            <w:tcBorders>
              <w:top w:val="nil"/>
              <w:left w:val="nil"/>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无偏差</w:t>
            </w:r>
          </w:p>
        </w:tc>
      </w:tr>
      <w:tr w:rsidR="005D1DA9" w:rsidTr="00460FAB">
        <w:trPr>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vMerge/>
            <w:tcBorders>
              <w:left w:val="nil"/>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34" w:type="dxa"/>
            <w:tcBorders>
              <w:top w:val="nil"/>
              <w:left w:val="nil"/>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时效指标</w:t>
            </w:r>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年度各项任务完成期限</w:t>
            </w:r>
          </w:p>
        </w:tc>
        <w:tc>
          <w:tcPr>
            <w:tcW w:w="1311"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2024年12月31日前</w:t>
            </w:r>
          </w:p>
        </w:tc>
        <w:tc>
          <w:tcPr>
            <w:tcW w:w="1269"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2024年12月20日前</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10</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10</w:t>
            </w:r>
          </w:p>
        </w:tc>
        <w:tc>
          <w:tcPr>
            <w:tcW w:w="1446" w:type="dxa"/>
            <w:tcBorders>
              <w:top w:val="nil"/>
              <w:left w:val="nil"/>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无偏差</w:t>
            </w:r>
          </w:p>
        </w:tc>
      </w:tr>
      <w:tr w:rsidR="005D1DA9" w:rsidTr="00460FAB">
        <w:trPr>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vMerge/>
            <w:tcBorders>
              <w:left w:val="nil"/>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34" w:type="dxa"/>
            <w:tcBorders>
              <w:top w:val="nil"/>
              <w:left w:val="nil"/>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成本指标</w:t>
            </w:r>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预算控制率</w:t>
            </w:r>
          </w:p>
        </w:tc>
        <w:tc>
          <w:tcPr>
            <w:tcW w:w="1311"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宋体" w:hAnsi="宋体" w:cs="宋体" w:hint="eastAsia"/>
                <w:color w:val="000000"/>
                <w:sz w:val="20"/>
                <w:szCs w:val="20"/>
              </w:rPr>
              <w:t>≦</w:t>
            </w:r>
            <w:r>
              <w:rPr>
                <w:rFonts w:ascii="仿宋_GB2312" w:eastAsia="仿宋_GB2312" w:hAnsi="仿宋_GB2312" w:cs="仿宋_GB2312" w:hint="eastAsia"/>
                <w:color w:val="000000"/>
                <w:sz w:val="20"/>
                <w:szCs w:val="20"/>
              </w:rPr>
              <w:t>100%</w:t>
            </w:r>
          </w:p>
        </w:tc>
        <w:tc>
          <w:tcPr>
            <w:tcW w:w="1269" w:type="dxa"/>
            <w:tcBorders>
              <w:top w:val="nil"/>
              <w:left w:val="nil"/>
              <w:bottom w:val="single" w:sz="4" w:space="0" w:color="auto"/>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w:t>
            </w:r>
            <w:r>
              <w:rPr>
                <w:rFonts w:ascii="宋体" w:hAnsi="宋体" w:cs="宋体" w:hint="eastAsia"/>
                <w:color w:val="000000"/>
                <w:sz w:val="20"/>
                <w:szCs w:val="20"/>
              </w:rPr>
              <w:t>≦</w:t>
            </w:r>
            <w:r>
              <w:rPr>
                <w:rFonts w:ascii="仿宋_GB2312" w:eastAsia="仿宋_GB2312" w:hAnsi="仿宋_GB2312" w:cs="仿宋_GB2312" w:hint="eastAsia"/>
                <w:color w:val="000000"/>
                <w:sz w:val="20"/>
                <w:szCs w:val="20"/>
              </w:rPr>
              <w:t>100%</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10</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10</w:t>
            </w:r>
          </w:p>
        </w:tc>
        <w:tc>
          <w:tcPr>
            <w:tcW w:w="1446" w:type="dxa"/>
            <w:tcBorders>
              <w:top w:val="nil"/>
              <w:left w:val="nil"/>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 xml:space="preserve">　无偏差</w:t>
            </w:r>
          </w:p>
        </w:tc>
      </w:tr>
      <w:tr w:rsidR="005D1DA9" w:rsidTr="00460FAB">
        <w:trPr>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vMerge w:val="restart"/>
            <w:tcBorders>
              <w:top w:val="nil"/>
              <w:left w:val="nil"/>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效益指标</w:t>
            </w:r>
          </w:p>
          <w:p w:rsidR="005D1DA9" w:rsidRDefault="005D1DA9">
            <w:pPr>
              <w:widowControl/>
              <w:spacing w:line="240" w:lineRule="exact"/>
              <w:jc w:val="left"/>
              <w:rPr>
                <w:rFonts w:ascii="仿宋_GB2312" w:eastAsia="仿宋_GB2312" w:hAnsi="仿宋_GB2312" w:cs="仿宋_GB2312"/>
                <w:color w:val="000000"/>
                <w:sz w:val="20"/>
                <w:szCs w:val="20"/>
              </w:rPr>
            </w:pPr>
          </w:p>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（30分）</w:t>
            </w:r>
          </w:p>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w:t>
            </w:r>
          </w:p>
        </w:tc>
        <w:tc>
          <w:tcPr>
            <w:tcW w:w="1034" w:type="dxa"/>
            <w:tcBorders>
              <w:top w:val="nil"/>
              <w:left w:val="nil"/>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经济</w:t>
            </w:r>
            <w:proofErr w:type="gramStart"/>
            <w:r>
              <w:rPr>
                <w:rFonts w:ascii="仿宋_GB2312" w:eastAsia="仿宋_GB2312" w:hAnsi="仿宋_GB2312" w:cs="仿宋_GB2312" w:hint="eastAsia"/>
                <w:color w:val="000000"/>
                <w:sz w:val="20"/>
                <w:szCs w:val="20"/>
              </w:rPr>
              <w:t>效</w:t>
            </w:r>
            <w:proofErr w:type="gramEnd"/>
          </w:p>
          <w:p w:rsidR="005D1DA9" w:rsidRDefault="005D1DA9">
            <w:pPr>
              <w:widowControl/>
              <w:spacing w:line="240" w:lineRule="exact"/>
              <w:jc w:val="center"/>
              <w:rPr>
                <w:rFonts w:ascii="仿宋_GB2312" w:eastAsia="仿宋_GB2312" w:hAnsi="仿宋_GB2312" w:cs="仿宋_GB2312"/>
                <w:color w:val="000000"/>
                <w:sz w:val="20"/>
                <w:szCs w:val="20"/>
              </w:rPr>
            </w:pPr>
            <w:proofErr w:type="gramStart"/>
            <w:r>
              <w:rPr>
                <w:rFonts w:ascii="仿宋_GB2312" w:eastAsia="仿宋_GB2312" w:hAnsi="仿宋_GB2312" w:cs="仿宋_GB2312" w:hint="eastAsia"/>
                <w:color w:val="000000"/>
                <w:sz w:val="20"/>
                <w:szCs w:val="20"/>
              </w:rPr>
              <w:t>益指标</w:t>
            </w:r>
            <w:proofErr w:type="gramEnd"/>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青年创业率</w:t>
            </w:r>
          </w:p>
        </w:tc>
        <w:tc>
          <w:tcPr>
            <w:tcW w:w="1311"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≥95%</w:t>
            </w:r>
          </w:p>
        </w:tc>
        <w:tc>
          <w:tcPr>
            <w:tcW w:w="1269"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≥95%</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15</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13</w:t>
            </w:r>
          </w:p>
        </w:tc>
        <w:tc>
          <w:tcPr>
            <w:tcW w:w="1446" w:type="dxa"/>
            <w:tcBorders>
              <w:top w:val="nil"/>
              <w:left w:val="nil"/>
              <w:bottom w:val="single" w:sz="4" w:space="0" w:color="auto"/>
              <w:right w:val="single" w:sz="4" w:space="0" w:color="auto"/>
            </w:tcBorders>
            <w:noWrap/>
            <w:vAlign w:val="bottom"/>
          </w:tcPr>
          <w:p w:rsidR="005D1DA9" w:rsidRDefault="005D1DA9" w:rsidP="005C7D65">
            <w:pPr>
              <w:rPr>
                <w:rFonts w:ascii="仿宋_GB2312" w:eastAsia="仿宋_GB2312" w:hAnsi="宋体" w:cs="宋体"/>
                <w:color w:val="000000"/>
                <w:sz w:val="20"/>
                <w:szCs w:val="20"/>
              </w:rPr>
            </w:pPr>
            <w:r>
              <w:rPr>
                <w:rFonts w:ascii="仿宋_GB2312" w:eastAsia="仿宋_GB2312" w:hint="eastAsia"/>
                <w:color w:val="000000"/>
                <w:sz w:val="20"/>
                <w:szCs w:val="20"/>
              </w:rPr>
              <w:t xml:space="preserve">　提升经济措施未到位，下年将加强措施</w:t>
            </w:r>
          </w:p>
        </w:tc>
      </w:tr>
      <w:tr w:rsidR="005D1DA9" w:rsidTr="00460FAB">
        <w:trPr>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vMerge/>
            <w:tcBorders>
              <w:left w:val="nil"/>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34" w:type="dxa"/>
            <w:tcBorders>
              <w:top w:val="nil"/>
              <w:left w:val="nil"/>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社会</w:t>
            </w:r>
            <w:proofErr w:type="gramStart"/>
            <w:r>
              <w:rPr>
                <w:rFonts w:ascii="仿宋_GB2312" w:eastAsia="仿宋_GB2312" w:hAnsi="仿宋_GB2312" w:cs="仿宋_GB2312" w:hint="eastAsia"/>
                <w:color w:val="000000"/>
                <w:sz w:val="20"/>
                <w:szCs w:val="20"/>
              </w:rPr>
              <w:t>效</w:t>
            </w:r>
            <w:proofErr w:type="gramEnd"/>
          </w:p>
          <w:p w:rsidR="005D1DA9" w:rsidRDefault="005D1DA9">
            <w:pPr>
              <w:widowControl/>
              <w:spacing w:line="240" w:lineRule="exact"/>
              <w:jc w:val="center"/>
              <w:rPr>
                <w:rFonts w:ascii="仿宋_GB2312" w:eastAsia="仿宋_GB2312" w:hAnsi="仿宋_GB2312" w:cs="仿宋_GB2312"/>
                <w:color w:val="000000"/>
                <w:sz w:val="20"/>
                <w:szCs w:val="20"/>
              </w:rPr>
            </w:pPr>
            <w:proofErr w:type="gramStart"/>
            <w:r>
              <w:rPr>
                <w:rFonts w:ascii="仿宋_GB2312" w:eastAsia="仿宋_GB2312" w:hAnsi="仿宋_GB2312" w:cs="仿宋_GB2312" w:hint="eastAsia"/>
                <w:color w:val="000000"/>
                <w:sz w:val="20"/>
                <w:szCs w:val="20"/>
              </w:rPr>
              <w:t>益指标</w:t>
            </w:r>
            <w:proofErr w:type="gramEnd"/>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“青年大学习”进度</w:t>
            </w:r>
          </w:p>
        </w:tc>
        <w:tc>
          <w:tcPr>
            <w:tcW w:w="1311"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≥95%</w:t>
            </w:r>
          </w:p>
        </w:tc>
        <w:tc>
          <w:tcPr>
            <w:tcW w:w="1269"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≥95%</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15</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15</w:t>
            </w:r>
          </w:p>
        </w:tc>
        <w:tc>
          <w:tcPr>
            <w:tcW w:w="1446" w:type="dxa"/>
            <w:tcBorders>
              <w:top w:val="nil"/>
              <w:left w:val="nil"/>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无偏差</w:t>
            </w:r>
          </w:p>
        </w:tc>
      </w:tr>
      <w:tr w:rsidR="005D1DA9" w:rsidTr="00460FAB">
        <w:trPr>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vMerge/>
            <w:tcBorders>
              <w:left w:val="nil"/>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34" w:type="dxa"/>
            <w:tcBorders>
              <w:top w:val="nil"/>
              <w:left w:val="nil"/>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生态</w:t>
            </w:r>
            <w:proofErr w:type="gramStart"/>
            <w:r>
              <w:rPr>
                <w:rFonts w:ascii="仿宋_GB2312" w:eastAsia="仿宋_GB2312" w:hAnsi="仿宋_GB2312" w:cs="仿宋_GB2312" w:hint="eastAsia"/>
                <w:color w:val="000000"/>
                <w:sz w:val="20"/>
                <w:szCs w:val="20"/>
              </w:rPr>
              <w:t>效</w:t>
            </w:r>
            <w:proofErr w:type="gramEnd"/>
          </w:p>
          <w:p w:rsidR="005D1DA9" w:rsidRDefault="005D1DA9">
            <w:pPr>
              <w:widowControl/>
              <w:spacing w:line="240" w:lineRule="exact"/>
              <w:jc w:val="center"/>
              <w:rPr>
                <w:rFonts w:ascii="仿宋_GB2312" w:eastAsia="仿宋_GB2312" w:hAnsi="仿宋_GB2312" w:cs="仿宋_GB2312"/>
                <w:color w:val="000000"/>
                <w:sz w:val="20"/>
                <w:szCs w:val="20"/>
              </w:rPr>
            </w:pPr>
            <w:proofErr w:type="gramStart"/>
            <w:r>
              <w:rPr>
                <w:rFonts w:ascii="仿宋_GB2312" w:eastAsia="仿宋_GB2312" w:hAnsi="仿宋_GB2312" w:cs="仿宋_GB2312" w:hint="eastAsia"/>
                <w:color w:val="000000"/>
                <w:sz w:val="20"/>
                <w:szCs w:val="20"/>
              </w:rPr>
              <w:t>益指标</w:t>
            </w:r>
            <w:proofErr w:type="gramEnd"/>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无生态效益效果</w:t>
            </w:r>
          </w:p>
        </w:tc>
        <w:tc>
          <w:tcPr>
            <w:tcW w:w="1311" w:type="dxa"/>
            <w:tcBorders>
              <w:top w:val="nil"/>
              <w:left w:val="nil"/>
              <w:bottom w:val="single" w:sz="4" w:space="0" w:color="auto"/>
              <w:right w:val="single" w:sz="4" w:space="0" w:color="auto"/>
            </w:tcBorders>
            <w:noWrap/>
            <w:vAlign w:val="center"/>
          </w:tcPr>
          <w:p w:rsidR="005D1DA9" w:rsidRDefault="005D1DA9">
            <w:pPr>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无生态效益效果</w:t>
            </w:r>
          </w:p>
        </w:tc>
        <w:tc>
          <w:tcPr>
            <w:tcW w:w="1269" w:type="dxa"/>
            <w:tcBorders>
              <w:top w:val="nil"/>
              <w:left w:val="nil"/>
              <w:bottom w:val="single" w:sz="4" w:space="0" w:color="auto"/>
              <w:right w:val="single" w:sz="4" w:space="0" w:color="auto"/>
            </w:tcBorders>
            <w:noWrap/>
            <w:vAlign w:val="center"/>
          </w:tcPr>
          <w:p w:rsidR="005D1DA9" w:rsidRDefault="005D1DA9">
            <w:pPr>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无生态效益效果</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0</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0</w:t>
            </w:r>
          </w:p>
        </w:tc>
        <w:tc>
          <w:tcPr>
            <w:tcW w:w="1446" w:type="dxa"/>
            <w:tcBorders>
              <w:top w:val="nil"/>
              <w:left w:val="nil"/>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无偏差</w:t>
            </w:r>
          </w:p>
        </w:tc>
      </w:tr>
      <w:tr w:rsidR="005D1DA9" w:rsidTr="00460FAB">
        <w:trPr>
          <w:trHeight w:val="290"/>
          <w:jc w:val="center"/>
        </w:trPr>
        <w:tc>
          <w:tcPr>
            <w:tcW w:w="1080" w:type="dxa"/>
            <w:vMerge/>
            <w:tcBorders>
              <w:left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p>
        </w:tc>
        <w:tc>
          <w:tcPr>
            <w:tcW w:w="1080" w:type="dxa"/>
            <w:vMerge/>
            <w:tcBorders>
              <w:left w:val="nil"/>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p>
        </w:tc>
        <w:tc>
          <w:tcPr>
            <w:tcW w:w="1034" w:type="dxa"/>
            <w:tcBorders>
              <w:top w:val="single" w:sz="4" w:space="0" w:color="auto"/>
              <w:left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可持续影响指标</w:t>
            </w:r>
          </w:p>
        </w:tc>
        <w:tc>
          <w:tcPr>
            <w:tcW w:w="1270" w:type="dxa"/>
            <w:tcBorders>
              <w:top w:val="single" w:sz="4" w:space="0" w:color="auto"/>
              <w:left w:val="single" w:sz="4" w:space="0" w:color="auto"/>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无可持续影响效果</w:t>
            </w:r>
          </w:p>
        </w:tc>
        <w:tc>
          <w:tcPr>
            <w:tcW w:w="1311" w:type="dxa"/>
            <w:tcBorders>
              <w:top w:val="single" w:sz="4" w:space="0" w:color="auto"/>
              <w:left w:val="single" w:sz="4" w:space="0" w:color="auto"/>
              <w:bottom w:val="single" w:sz="4" w:space="0" w:color="auto"/>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无可持续影响效果</w:t>
            </w:r>
          </w:p>
        </w:tc>
        <w:tc>
          <w:tcPr>
            <w:tcW w:w="1269" w:type="dxa"/>
            <w:tcBorders>
              <w:top w:val="single" w:sz="4" w:space="0" w:color="auto"/>
              <w:left w:val="single" w:sz="4" w:space="0" w:color="auto"/>
              <w:bottom w:val="single" w:sz="4" w:space="0" w:color="auto"/>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无可持续影响效果</w:t>
            </w:r>
          </w:p>
        </w:tc>
        <w:tc>
          <w:tcPr>
            <w:tcW w:w="716" w:type="dxa"/>
            <w:tcBorders>
              <w:top w:val="single" w:sz="4" w:space="0" w:color="auto"/>
              <w:left w:val="single" w:sz="4" w:space="0" w:color="auto"/>
              <w:bottom w:val="single" w:sz="4" w:space="0" w:color="auto"/>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0</w:t>
            </w:r>
          </w:p>
        </w:tc>
        <w:tc>
          <w:tcPr>
            <w:tcW w:w="873" w:type="dxa"/>
            <w:tcBorders>
              <w:top w:val="single" w:sz="4" w:space="0" w:color="auto"/>
              <w:left w:val="single" w:sz="4" w:space="0" w:color="auto"/>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0</w:t>
            </w:r>
          </w:p>
        </w:tc>
        <w:tc>
          <w:tcPr>
            <w:tcW w:w="1446" w:type="dxa"/>
            <w:tcBorders>
              <w:top w:val="single" w:sz="4" w:space="0" w:color="auto"/>
              <w:left w:val="single" w:sz="4" w:space="0" w:color="auto"/>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无偏差</w:t>
            </w:r>
          </w:p>
        </w:tc>
      </w:tr>
      <w:tr w:rsidR="005D1DA9" w:rsidTr="00460FAB">
        <w:trPr>
          <w:trHeight w:val="330"/>
          <w:jc w:val="center"/>
        </w:trPr>
        <w:tc>
          <w:tcPr>
            <w:tcW w:w="1080" w:type="dxa"/>
            <w:vMerge/>
            <w:tcBorders>
              <w:left w:val="single" w:sz="4" w:space="0" w:color="auto"/>
              <w:right w:val="single" w:sz="4" w:space="0" w:color="auto"/>
            </w:tcBorders>
            <w:noWrap/>
            <w:vAlign w:val="center"/>
          </w:tcPr>
          <w:p w:rsidR="005D1DA9" w:rsidRDefault="005D1DA9">
            <w:pPr>
              <w:spacing w:line="240" w:lineRule="exact"/>
              <w:jc w:val="left"/>
              <w:rPr>
                <w:rFonts w:ascii="仿宋_GB2312" w:eastAsia="仿宋_GB2312" w:hAnsi="仿宋_GB2312" w:cs="仿宋_GB2312"/>
                <w:color w:val="000000"/>
                <w:sz w:val="20"/>
                <w:szCs w:val="20"/>
              </w:rPr>
            </w:pPr>
          </w:p>
        </w:tc>
        <w:tc>
          <w:tcPr>
            <w:tcW w:w="1080" w:type="dxa"/>
            <w:tcBorders>
              <w:top w:val="nil"/>
              <w:left w:val="nil"/>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满意度</w:t>
            </w:r>
          </w:p>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指标</w:t>
            </w:r>
          </w:p>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（10分）</w:t>
            </w:r>
          </w:p>
        </w:tc>
        <w:tc>
          <w:tcPr>
            <w:tcW w:w="1034" w:type="dxa"/>
            <w:tcBorders>
              <w:top w:val="nil"/>
              <w:left w:val="nil"/>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服务对象满意度指标</w:t>
            </w:r>
          </w:p>
        </w:tc>
        <w:tc>
          <w:tcPr>
            <w:tcW w:w="1270"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服务对象满意度</w:t>
            </w:r>
          </w:p>
        </w:tc>
        <w:tc>
          <w:tcPr>
            <w:tcW w:w="1311" w:type="dxa"/>
            <w:tcBorders>
              <w:top w:val="nil"/>
              <w:left w:val="nil"/>
              <w:bottom w:val="single" w:sz="4" w:space="0" w:color="auto"/>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≥90%</w:t>
            </w:r>
          </w:p>
        </w:tc>
        <w:tc>
          <w:tcPr>
            <w:tcW w:w="1269" w:type="dxa"/>
            <w:tcBorders>
              <w:top w:val="nil"/>
              <w:left w:val="nil"/>
              <w:bottom w:val="single" w:sz="4" w:space="0" w:color="auto"/>
              <w:right w:val="single" w:sz="4" w:space="0" w:color="auto"/>
            </w:tcBorders>
            <w:noWrap/>
            <w:vAlign w:val="center"/>
          </w:tcPr>
          <w:p w:rsidR="005D1DA9" w:rsidRDefault="005D1DA9">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≥95%</w:t>
            </w:r>
          </w:p>
        </w:tc>
        <w:tc>
          <w:tcPr>
            <w:tcW w:w="716"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10</w:t>
            </w:r>
          </w:p>
        </w:tc>
        <w:tc>
          <w:tcPr>
            <w:tcW w:w="873" w:type="dxa"/>
            <w:tcBorders>
              <w:top w:val="nil"/>
              <w:left w:val="nil"/>
              <w:bottom w:val="single" w:sz="4" w:space="0" w:color="auto"/>
              <w:right w:val="single" w:sz="4" w:space="0" w:color="auto"/>
            </w:tcBorders>
            <w:noWrap/>
            <w:vAlign w:val="center"/>
          </w:tcPr>
          <w:p w:rsidR="005D1DA9" w:rsidRDefault="005D1DA9">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10</w:t>
            </w:r>
          </w:p>
        </w:tc>
        <w:tc>
          <w:tcPr>
            <w:tcW w:w="1446" w:type="dxa"/>
            <w:tcBorders>
              <w:top w:val="nil"/>
              <w:left w:val="nil"/>
              <w:bottom w:val="single" w:sz="4" w:space="0" w:color="auto"/>
              <w:right w:val="single" w:sz="4" w:space="0" w:color="auto"/>
            </w:tcBorders>
            <w:noWrap/>
            <w:vAlign w:val="bottom"/>
          </w:tcPr>
          <w:p w:rsidR="005D1DA9" w:rsidRDefault="005D1DA9">
            <w:pPr>
              <w:rPr>
                <w:rFonts w:ascii="仿宋_GB2312" w:eastAsia="仿宋_GB2312" w:hAnsi="宋体" w:cs="宋体"/>
                <w:color w:val="000000"/>
                <w:sz w:val="20"/>
                <w:szCs w:val="20"/>
              </w:rPr>
            </w:pPr>
            <w:r>
              <w:rPr>
                <w:rFonts w:ascii="仿宋_GB2312" w:eastAsia="仿宋_GB2312" w:hint="eastAsia"/>
                <w:color w:val="000000"/>
                <w:sz w:val="20"/>
                <w:szCs w:val="20"/>
              </w:rPr>
              <w:t>无偏差</w:t>
            </w:r>
          </w:p>
        </w:tc>
      </w:tr>
      <w:tr w:rsidR="00365B06">
        <w:trPr>
          <w:trHeight w:val="270"/>
          <w:jc w:val="center"/>
        </w:trPr>
        <w:tc>
          <w:tcPr>
            <w:tcW w:w="7044" w:type="dxa"/>
            <w:gridSpan w:val="6"/>
            <w:tcBorders>
              <w:top w:val="single" w:sz="4" w:space="0" w:color="auto"/>
              <w:left w:val="single" w:sz="4" w:space="0" w:color="auto"/>
              <w:bottom w:val="single" w:sz="4" w:space="0" w:color="auto"/>
              <w:right w:val="single" w:sz="4" w:space="0" w:color="000000"/>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总分</w:t>
            </w:r>
          </w:p>
        </w:tc>
        <w:tc>
          <w:tcPr>
            <w:tcW w:w="716" w:type="dxa"/>
            <w:tcBorders>
              <w:top w:val="nil"/>
              <w:left w:val="nil"/>
              <w:bottom w:val="single" w:sz="4" w:space="0" w:color="auto"/>
              <w:right w:val="single" w:sz="4" w:space="0" w:color="auto"/>
            </w:tcBorders>
            <w:noWrap/>
            <w:vAlign w:val="center"/>
          </w:tcPr>
          <w:p w:rsidR="00365B06" w:rsidRDefault="00353FA0">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100</w:t>
            </w:r>
          </w:p>
        </w:tc>
        <w:tc>
          <w:tcPr>
            <w:tcW w:w="873" w:type="dxa"/>
            <w:tcBorders>
              <w:top w:val="nil"/>
              <w:left w:val="nil"/>
              <w:bottom w:val="single" w:sz="4" w:space="0" w:color="auto"/>
              <w:right w:val="single" w:sz="4" w:space="0" w:color="auto"/>
            </w:tcBorders>
            <w:noWrap/>
            <w:vAlign w:val="center"/>
          </w:tcPr>
          <w:p w:rsidR="00365B06" w:rsidRDefault="009C0953">
            <w:pPr>
              <w:widowControl/>
              <w:spacing w:line="240" w:lineRule="exact"/>
              <w:jc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97.77</w:t>
            </w:r>
          </w:p>
        </w:tc>
        <w:tc>
          <w:tcPr>
            <w:tcW w:w="1446" w:type="dxa"/>
            <w:tcBorders>
              <w:top w:val="nil"/>
              <w:left w:val="nil"/>
              <w:bottom w:val="single" w:sz="4" w:space="0" w:color="auto"/>
              <w:right w:val="single" w:sz="4" w:space="0" w:color="auto"/>
            </w:tcBorders>
            <w:noWrap/>
            <w:vAlign w:val="center"/>
          </w:tcPr>
          <w:p w:rsidR="00365B06" w:rsidRDefault="00353FA0">
            <w:pPr>
              <w:widowControl/>
              <w:spacing w:line="240" w:lineRule="exact"/>
              <w:jc w:val="left"/>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 xml:space="preserve">　</w:t>
            </w:r>
          </w:p>
        </w:tc>
      </w:tr>
    </w:tbl>
    <w:p w:rsidR="00365B06" w:rsidRDefault="00353FA0">
      <w:pPr>
        <w:widowControl/>
        <w:spacing w:line="400" w:lineRule="exact"/>
        <w:jc w:val="left"/>
        <w:rPr>
          <w:rFonts w:ascii="Times New Roman" w:eastAsia="仿宋_GB2312" w:hAnsi="Times New Roman"/>
          <w:sz w:val="22"/>
        </w:rPr>
      </w:pPr>
      <w:r>
        <w:rPr>
          <w:rFonts w:ascii="Times New Roman" w:eastAsia="仿宋_GB2312" w:hAnsi="Times New Roman"/>
          <w:sz w:val="22"/>
        </w:rPr>
        <w:t>填表人</w:t>
      </w:r>
      <w:r>
        <w:rPr>
          <w:rFonts w:ascii="Times New Roman" w:eastAsia="仿宋_GB2312" w:hAnsi="Times New Roman" w:hint="eastAsia"/>
          <w:sz w:val="22"/>
        </w:rPr>
        <w:t>：</w:t>
      </w:r>
      <w:r>
        <w:rPr>
          <w:rFonts w:ascii="Times New Roman" w:eastAsia="仿宋_GB2312" w:hAnsi="Times New Roman" w:hint="eastAsia"/>
          <w:sz w:val="22"/>
        </w:rPr>
        <w:t xml:space="preserve">       </w:t>
      </w:r>
      <w:r>
        <w:rPr>
          <w:rFonts w:ascii="Times New Roman" w:eastAsia="仿宋_GB2312" w:hAnsi="Times New Roman"/>
          <w:sz w:val="22"/>
        </w:rPr>
        <w:t>填报日期：</w:t>
      </w:r>
      <w:r>
        <w:rPr>
          <w:rFonts w:ascii="Times New Roman" w:eastAsia="仿宋_GB2312" w:hAnsi="Times New Roman" w:hint="eastAsia"/>
          <w:sz w:val="22"/>
        </w:rPr>
        <w:t xml:space="preserve">         </w:t>
      </w:r>
      <w:r>
        <w:rPr>
          <w:rFonts w:ascii="Times New Roman" w:eastAsia="仿宋_GB2312" w:hAnsi="Times New Roman"/>
          <w:sz w:val="22"/>
        </w:rPr>
        <w:t>联系电话：</w:t>
      </w:r>
      <w:r>
        <w:rPr>
          <w:rFonts w:ascii="Times New Roman" w:eastAsia="仿宋_GB2312" w:hAnsi="Times New Roman" w:hint="eastAsia"/>
          <w:sz w:val="22"/>
        </w:rPr>
        <w:t xml:space="preserve">                 </w:t>
      </w:r>
      <w:r>
        <w:rPr>
          <w:rFonts w:ascii="Times New Roman" w:eastAsia="仿宋_GB2312" w:hAnsi="Times New Roman"/>
          <w:sz w:val="22"/>
        </w:rPr>
        <w:t>单位负责人签字：</w:t>
      </w:r>
    </w:p>
    <w:p w:rsidR="00365B06" w:rsidRDefault="00365B06">
      <w:pPr>
        <w:rPr>
          <w:rFonts w:ascii="Times New Roman" w:eastAsia="方正小标宋_GBK" w:hAnsi="Times New Roman"/>
          <w:sz w:val="52"/>
          <w:szCs w:val="52"/>
        </w:rPr>
      </w:pPr>
      <w:bookmarkStart w:id="0" w:name="_GoBack"/>
      <w:bookmarkEnd w:id="0"/>
    </w:p>
    <w:p w:rsidR="00365B06" w:rsidRDefault="00353FA0">
      <w:pPr>
        <w:widowControl/>
        <w:spacing w:line="640" w:lineRule="exact"/>
        <w:rPr>
          <w:rFonts w:ascii="黑体" w:eastAsia="黑体" w:hAnsi="黑体" w:cs="黑体"/>
          <w:sz w:val="32"/>
          <w:szCs w:val="32"/>
        </w:rPr>
      </w:pPr>
      <w:r>
        <w:rPr>
          <w:rFonts w:ascii="黑体" w:eastAsia="黑体" w:hAnsi="黑体" w:cs="黑体" w:hint="eastAsia"/>
          <w:sz w:val="32"/>
          <w:szCs w:val="32"/>
        </w:rPr>
        <w:t>附件5</w:t>
      </w:r>
    </w:p>
    <w:p w:rsidR="00365B06" w:rsidRDefault="00353FA0" w:rsidP="00353FA0">
      <w:pPr>
        <w:spacing w:beforeLines="50" w:afterLines="50"/>
        <w:jc w:val="center"/>
        <w:rPr>
          <w:rFonts w:ascii="方正小标宋简体" w:eastAsia="方正小标宋简体" w:hAnsi="方正小标宋简体" w:cs="方正小标宋简体"/>
          <w:spacing w:val="-6"/>
          <w:sz w:val="36"/>
          <w:szCs w:val="36"/>
        </w:rPr>
      </w:pPr>
      <w:r>
        <w:rPr>
          <w:rFonts w:ascii="方正小标宋简体" w:eastAsia="方正小标宋简体" w:hAnsi="方正小标宋简体" w:cs="方正小标宋简体" w:hint="eastAsia"/>
          <w:sz w:val="36"/>
          <w:szCs w:val="36"/>
        </w:rPr>
        <w:t>部门整体支出</w:t>
      </w:r>
      <w:r>
        <w:rPr>
          <w:rFonts w:ascii="方正小标宋简体" w:eastAsia="方正小标宋简体" w:hAnsi="方正小标宋简体" w:cs="方正小标宋简体" w:hint="eastAsia"/>
          <w:spacing w:val="-6"/>
          <w:sz w:val="36"/>
          <w:szCs w:val="36"/>
        </w:rPr>
        <w:t>绩效自评工</w:t>
      </w:r>
      <w:proofErr w:type="gramStart"/>
      <w:r>
        <w:rPr>
          <w:rFonts w:ascii="方正小标宋简体" w:eastAsia="方正小标宋简体" w:hAnsi="方正小标宋简体" w:cs="方正小标宋简体" w:hint="eastAsia"/>
          <w:spacing w:val="-6"/>
          <w:sz w:val="36"/>
          <w:szCs w:val="36"/>
        </w:rPr>
        <w:t>作考核</w:t>
      </w:r>
      <w:proofErr w:type="gramEnd"/>
      <w:r>
        <w:rPr>
          <w:rFonts w:ascii="方正小标宋简体" w:eastAsia="方正小标宋简体" w:hAnsi="方正小标宋简体" w:cs="方正小标宋简体" w:hint="eastAsia"/>
          <w:spacing w:val="-6"/>
          <w:sz w:val="36"/>
          <w:szCs w:val="36"/>
        </w:rPr>
        <w:t>评分表</w:t>
      </w:r>
    </w:p>
    <w:tbl>
      <w:tblPr>
        <w:tblW w:w="9941" w:type="dxa"/>
        <w:jc w:val="center"/>
        <w:tblLayout w:type="fixed"/>
        <w:tblLook w:val="04A0"/>
      </w:tblPr>
      <w:tblGrid>
        <w:gridCol w:w="745"/>
        <w:gridCol w:w="1174"/>
        <w:gridCol w:w="5000"/>
        <w:gridCol w:w="3022"/>
      </w:tblGrid>
      <w:tr w:rsidR="00365B06">
        <w:trPr>
          <w:tblHeader/>
          <w:jc w:val="center"/>
        </w:trPr>
        <w:tc>
          <w:tcPr>
            <w:tcW w:w="745" w:type="dxa"/>
            <w:tcBorders>
              <w:top w:val="single" w:sz="4" w:space="0" w:color="auto"/>
              <w:left w:val="single" w:sz="4" w:space="0" w:color="auto"/>
              <w:bottom w:val="single" w:sz="4" w:space="0" w:color="auto"/>
              <w:right w:val="single" w:sz="4" w:space="0" w:color="auto"/>
            </w:tcBorders>
            <w:noWrap/>
            <w:vAlign w:val="center"/>
          </w:tcPr>
          <w:p w:rsidR="00365B06" w:rsidRDefault="00353FA0">
            <w:pPr>
              <w:spacing w:line="300" w:lineRule="exact"/>
              <w:jc w:val="center"/>
              <w:rPr>
                <w:rFonts w:ascii="Times New Roman" w:eastAsia="黑体" w:hAnsi="Times New Roman"/>
                <w:bCs/>
                <w:sz w:val="21"/>
                <w:szCs w:val="21"/>
              </w:rPr>
            </w:pPr>
            <w:r>
              <w:rPr>
                <w:rFonts w:ascii="Times New Roman" w:eastAsia="黑体" w:hAnsi="Times New Roman"/>
                <w:bCs/>
                <w:sz w:val="21"/>
                <w:szCs w:val="21"/>
              </w:rPr>
              <w:t>一级指标</w:t>
            </w:r>
          </w:p>
        </w:tc>
        <w:tc>
          <w:tcPr>
            <w:tcW w:w="1174"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jc w:val="center"/>
              <w:rPr>
                <w:rFonts w:ascii="Times New Roman" w:eastAsia="黑体" w:hAnsi="Times New Roman"/>
                <w:bCs/>
                <w:sz w:val="21"/>
                <w:szCs w:val="21"/>
              </w:rPr>
            </w:pPr>
            <w:r>
              <w:rPr>
                <w:rFonts w:ascii="Times New Roman" w:eastAsia="黑体" w:hAnsi="Times New Roman"/>
                <w:bCs/>
                <w:sz w:val="21"/>
                <w:szCs w:val="21"/>
              </w:rPr>
              <w:t>二级指标</w:t>
            </w:r>
          </w:p>
        </w:tc>
        <w:tc>
          <w:tcPr>
            <w:tcW w:w="5000"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jc w:val="center"/>
              <w:rPr>
                <w:rFonts w:ascii="Times New Roman" w:eastAsia="黑体" w:hAnsi="Times New Roman"/>
                <w:bCs/>
                <w:sz w:val="21"/>
                <w:szCs w:val="21"/>
              </w:rPr>
            </w:pPr>
            <w:r>
              <w:rPr>
                <w:rFonts w:ascii="Times New Roman" w:eastAsia="黑体" w:hAnsi="Times New Roman"/>
                <w:bCs/>
                <w:sz w:val="21"/>
                <w:szCs w:val="21"/>
              </w:rPr>
              <w:t>评分标准</w:t>
            </w:r>
          </w:p>
        </w:tc>
        <w:tc>
          <w:tcPr>
            <w:tcW w:w="3022"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jc w:val="center"/>
              <w:rPr>
                <w:rFonts w:ascii="Times New Roman" w:eastAsia="黑体" w:hAnsi="Times New Roman"/>
                <w:bCs/>
                <w:sz w:val="21"/>
                <w:szCs w:val="21"/>
              </w:rPr>
            </w:pPr>
            <w:r>
              <w:rPr>
                <w:rFonts w:ascii="Times New Roman" w:eastAsia="黑体" w:hAnsi="Times New Roman"/>
                <w:bCs/>
                <w:sz w:val="21"/>
                <w:szCs w:val="21"/>
              </w:rPr>
              <w:t>所需佐证材料</w:t>
            </w:r>
          </w:p>
        </w:tc>
      </w:tr>
      <w:tr w:rsidR="00365B06">
        <w:trPr>
          <w:jc w:val="center"/>
        </w:trPr>
        <w:tc>
          <w:tcPr>
            <w:tcW w:w="745" w:type="dxa"/>
            <w:vMerge w:val="restart"/>
            <w:tcBorders>
              <w:top w:val="single" w:sz="4" w:space="0" w:color="auto"/>
              <w:left w:val="single" w:sz="4" w:space="0" w:color="auto"/>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布置工作</w:t>
            </w:r>
          </w:p>
          <w:p w:rsidR="00365B06" w:rsidRDefault="00365B06">
            <w:pPr>
              <w:spacing w:line="300" w:lineRule="exact"/>
              <w:jc w:val="center"/>
              <w:rPr>
                <w:rFonts w:ascii="Times New Roman" w:eastAsia="仿宋_GB2312" w:hAnsi="Times New Roman"/>
                <w:sz w:val="20"/>
                <w:szCs w:val="20"/>
              </w:rPr>
            </w:pPr>
          </w:p>
          <w:p w:rsidR="00365B06" w:rsidRDefault="00353FA0">
            <w:pPr>
              <w:spacing w:line="300" w:lineRule="exact"/>
              <w:jc w:val="left"/>
              <w:rPr>
                <w:rFonts w:ascii="Times New Roman" w:eastAsia="仿宋_GB2312" w:hAnsi="Times New Roman"/>
                <w:sz w:val="20"/>
                <w:szCs w:val="20"/>
              </w:rPr>
            </w:pPr>
            <w:r>
              <w:rPr>
                <w:rFonts w:ascii="Times New Roman" w:eastAsia="仿宋_GB2312" w:hAnsi="Times New Roman"/>
                <w:sz w:val="20"/>
                <w:szCs w:val="20"/>
              </w:rPr>
              <w:t>10</w:t>
            </w:r>
            <w:r>
              <w:rPr>
                <w:rFonts w:ascii="Times New Roman" w:eastAsia="仿宋_GB2312" w:hAnsi="Times New Roman"/>
                <w:sz w:val="20"/>
                <w:szCs w:val="20"/>
              </w:rPr>
              <w:t>分</w:t>
            </w:r>
          </w:p>
        </w:tc>
        <w:tc>
          <w:tcPr>
            <w:tcW w:w="1174" w:type="dxa"/>
            <w:tcBorders>
              <w:top w:val="single" w:sz="4" w:space="0" w:color="auto"/>
              <w:left w:val="nil"/>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自评通知</w:t>
            </w:r>
          </w:p>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w:t>
            </w:r>
            <w:r>
              <w:rPr>
                <w:rFonts w:ascii="Times New Roman" w:eastAsia="仿宋_GB2312" w:hAnsi="Times New Roman"/>
                <w:sz w:val="20"/>
                <w:szCs w:val="20"/>
              </w:rPr>
              <w:t>8</w:t>
            </w:r>
            <w:r>
              <w:rPr>
                <w:rFonts w:ascii="Times New Roman" w:eastAsia="仿宋_GB2312" w:hAnsi="Times New Roman"/>
                <w:sz w:val="20"/>
                <w:szCs w:val="20"/>
              </w:rPr>
              <w:t>分）</w:t>
            </w:r>
          </w:p>
        </w:tc>
        <w:tc>
          <w:tcPr>
            <w:tcW w:w="5000"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rPr>
                <w:rFonts w:ascii="Times New Roman" w:eastAsia="仿宋_GB2312" w:hAnsi="Times New Roman"/>
                <w:sz w:val="20"/>
                <w:szCs w:val="20"/>
              </w:rPr>
            </w:pPr>
            <w:r>
              <w:rPr>
                <w:rFonts w:ascii="Times New Roman" w:eastAsia="仿宋_GB2312" w:hAnsi="Times New Roman"/>
                <w:sz w:val="20"/>
                <w:szCs w:val="20"/>
              </w:rPr>
              <w:t>1</w:t>
            </w:r>
            <w:r>
              <w:rPr>
                <w:rFonts w:ascii="Times New Roman" w:eastAsia="仿宋_GB2312" w:hAnsi="Times New Roman" w:hint="eastAsia"/>
                <w:sz w:val="20"/>
                <w:szCs w:val="20"/>
              </w:rPr>
              <w:t>.</w:t>
            </w:r>
            <w:r>
              <w:rPr>
                <w:rFonts w:ascii="Times New Roman" w:eastAsia="仿宋_GB2312" w:hAnsi="Times New Roman"/>
                <w:sz w:val="20"/>
                <w:szCs w:val="20"/>
              </w:rPr>
              <w:t>印发绩效自评通知的得</w:t>
            </w:r>
            <w:r>
              <w:rPr>
                <w:rFonts w:ascii="Times New Roman" w:eastAsia="仿宋_GB2312" w:hAnsi="Times New Roman"/>
                <w:sz w:val="20"/>
                <w:szCs w:val="20"/>
              </w:rPr>
              <w:t>2</w:t>
            </w:r>
            <w:r>
              <w:rPr>
                <w:rFonts w:ascii="Times New Roman" w:eastAsia="仿宋_GB2312" w:hAnsi="Times New Roman"/>
                <w:sz w:val="20"/>
                <w:szCs w:val="20"/>
              </w:rPr>
              <w:t>分，否则不得分。</w:t>
            </w:r>
          </w:p>
          <w:p w:rsidR="00365B06" w:rsidRDefault="00353FA0">
            <w:pPr>
              <w:spacing w:line="300" w:lineRule="exact"/>
              <w:rPr>
                <w:rFonts w:ascii="Times New Roman" w:eastAsia="仿宋_GB2312" w:hAnsi="Times New Roman"/>
                <w:sz w:val="20"/>
                <w:szCs w:val="20"/>
              </w:rPr>
            </w:pPr>
            <w:r>
              <w:rPr>
                <w:rFonts w:ascii="Times New Roman" w:eastAsia="仿宋_GB2312" w:hAnsi="Times New Roman"/>
                <w:sz w:val="20"/>
                <w:szCs w:val="20"/>
              </w:rPr>
              <w:t>2</w:t>
            </w:r>
            <w:r>
              <w:rPr>
                <w:rFonts w:ascii="Times New Roman" w:eastAsia="仿宋_GB2312" w:hAnsi="Times New Roman" w:hint="eastAsia"/>
                <w:sz w:val="20"/>
                <w:szCs w:val="20"/>
              </w:rPr>
              <w:t>.</w:t>
            </w:r>
            <w:r>
              <w:rPr>
                <w:rFonts w:ascii="Times New Roman" w:eastAsia="仿宋_GB2312" w:hAnsi="Times New Roman"/>
                <w:sz w:val="20"/>
                <w:szCs w:val="20"/>
              </w:rPr>
              <w:t>按照本规程规定，绩效自评通知包括自评范围、自评主要依据、自评主要内容、自评程序和步骤、有关要求等内容，并附有本通知要求的附件的，得</w:t>
            </w:r>
            <w:r>
              <w:rPr>
                <w:rFonts w:ascii="Times New Roman" w:eastAsia="仿宋_GB2312" w:hAnsi="Times New Roman"/>
                <w:sz w:val="20"/>
                <w:szCs w:val="20"/>
              </w:rPr>
              <w:t>6</w:t>
            </w:r>
            <w:r>
              <w:rPr>
                <w:rFonts w:ascii="Times New Roman" w:eastAsia="仿宋_GB2312" w:hAnsi="Times New Roman"/>
                <w:sz w:val="20"/>
                <w:szCs w:val="20"/>
              </w:rPr>
              <w:t>分；否则缺</w:t>
            </w:r>
            <w:r>
              <w:rPr>
                <w:rFonts w:ascii="Times New Roman" w:eastAsia="仿宋_GB2312" w:hAnsi="Times New Roman"/>
                <w:sz w:val="20"/>
                <w:szCs w:val="20"/>
              </w:rPr>
              <w:t>1</w:t>
            </w:r>
            <w:r>
              <w:rPr>
                <w:rFonts w:ascii="Times New Roman" w:eastAsia="仿宋_GB2312" w:hAnsi="Times New Roman"/>
                <w:sz w:val="20"/>
                <w:szCs w:val="20"/>
              </w:rPr>
              <w:t>项扣</w:t>
            </w:r>
            <w:r>
              <w:rPr>
                <w:rFonts w:ascii="Times New Roman" w:eastAsia="仿宋_GB2312" w:hAnsi="Times New Roman"/>
                <w:sz w:val="20"/>
                <w:szCs w:val="20"/>
              </w:rPr>
              <w:t>1</w:t>
            </w:r>
            <w:r>
              <w:rPr>
                <w:rFonts w:ascii="Times New Roman" w:eastAsia="仿宋_GB2312" w:hAnsi="Times New Roman"/>
                <w:sz w:val="20"/>
                <w:szCs w:val="20"/>
              </w:rPr>
              <w:t>分，最多扣</w:t>
            </w:r>
            <w:r>
              <w:rPr>
                <w:rFonts w:ascii="Times New Roman" w:eastAsia="仿宋_GB2312" w:hAnsi="Times New Roman"/>
                <w:sz w:val="20"/>
                <w:szCs w:val="20"/>
              </w:rPr>
              <w:t>6</w:t>
            </w:r>
            <w:r>
              <w:rPr>
                <w:rFonts w:ascii="Times New Roman" w:eastAsia="仿宋_GB2312" w:hAnsi="Times New Roman"/>
                <w:sz w:val="20"/>
                <w:szCs w:val="20"/>
              </w:rPr>
              <w:t>分。</w:t>
            </w:r>
          </w:p>
        </w:tc>
        <w:tc>
          <w:tcPr>
            <w:tcW w:w="3022"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rPr>
                <w:rFonts w:ascii="Times New Roman" w:eastAsia="仿宋_GB2312" w:hAnsi="Times New Roman"/>
                <w:sz w:val="20"/>
                <w:szCs w:val="20"/>
              </w:rPr>
            </w:pPr>
            <w:r>
              <w:rPr>
                <w:rFonts w:ascii="Times New Roman" w:eastAsia="仿宋_GB2312" w:hAnsi="Times New Roman"/>
                <w:sz w:val="20"/>
                <w:szCs w:val="20"/>
              </w:rPr>
              <w:t>绩效自评通知盖章的电子版</w:t>
            </w:r>
          </w:p>
        </w:tc>
      </w:tr>
      <w:tr w:rsidR="00365B06">
        <w:trPr>
          <w:jc w:val="center"/>
        </w:trPr>
        <w:tc>
          <w:tcPr>
            <w:tcW w:w="745" w:type="dxa"/>
            <w:vMerge/>
            <w:tcBorders>
              <w:left w:val="single" w:sz="4" w:space="0" w:color="auto"/>
              <w:bottom w:val="single" w:sz="4" w:space="0" w:color="auto"/>
              <w:right w:val="single" w:sz="4" w:space="0" w:color="auto"/>
            </w:tcBorders>
            <w:noWrap/>
            <w:vAlign w:val="center"/>
          </w:tcPr>
          <w:p w:rsidR="00365B06" w:rsidRDefault="00365B06">
            <w:pPr>
              <w:spacing w:line="300" w:lineRule="exact"/>
              <w:rPr>
                <w:rFonts w:ascii="Times New Roman" w:eastAsia="仿宋_GB2312" w:hAnsi="Times New Roman"/>
                <w:sz w:val="20"/>
                <w:szCs w:val="20"/>
              </w:rPr>
            </w:pPr>
          </w:p>
        </w:tc>
        <w:tc>
          <w:tcPr>
            <w:tcW w:w="1174"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工作小组</w:t>
            </w:r>
          </w:p>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w:t>
            </w:r>
            <w:r>
              <w:rPr>
                <w:rFonts w:ascii="Times New Roman" w:eastAsia="仿宋_GB2312" w:hAnsi="Times New Roman"/>
                <w:sz w:val="20"/>
                <w:szCs w:val="20"/>
              </w:rPr>
              <w:t>2</w:t>
            </w:r>
            <w:r>
              <w:rPr>
                <w:rFonts w:ascii="Times New Roman" w:eastAsia="仿宋_GB2312" w:hAnsi="Times New Roman"/>
                <w:sz w:val="20"/>
                <w:szCs w:val="20"/>
              </w:rPr>
              <w:t>分）</w:t>
            </w:r>
          </w:p>
        </w:tc>
        <w:tc>
          <w:tcPr>
            <w:tcW w:w="5000"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rPr>
                <w:rFonts w:ascii="Times New Roman" w:eastAsia="仿宋_GB2312" w:hAnsi="Times New Roman"/>
                <w:sz w:val="20"/>
                <w:szCs w:val="20"/>
              </w:rPr>
            </w:pPr>
            <w:r>
              <w:rPr>
                <w:rFonts w:ascii="Times New Roman" w:eastAsia="仿宋_GB2312" w:hAnsi="Times New Roman"/>
                <w:sz w:val="20"/>
                <w:szCs w:val="20"/>
              </w:rPr>
              <w:t>成立绩效自评工作小组的得</w:t>
            </w:r>
            <w:r>
              <w:rPr>
                <w:rFonts w:ascii="Times New Roman" w:eastAsia="仿宋_GB2312" w:hAnsi="Times New Roman"/>
                <w:sz w:val="20"/>
                <w:szCs w:val="20"/>
              </w:rPr>
              <w:t>2</w:t>
            </w:r>
            <w:r>
              <w:rPr>
                <w:rFonts w:ascii="Times New Roman" w:eastAsia="仿宋_GB2312" w:hAnsi="Times New Roman"/>
                <w:sz w:val="20"/>
                <w:szCs w:val="20"/>
              </w:rPr>
              <w:t>分，否则不得分。</w:t>
            </w:r>
          </w:p>
        </w:tc>
        <w:tc>
          <w:tcPr>
            <w:tcW w:w="3022"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rPr>
                <w:rFonts w:ascii="Times New Roman" w:eastAsia="仿宋_GB2312" w:hAnsi="Times New Roman"/>
                <w:sz w:val="20"/>
                <w:szCs w:val="20"/>
              </w:rPr>
            </w:pPr>
            <w:r>
              <w:rPr>
                <w:rFonts w:ascii="Times New Roman" w:eastAsia="仿宋_GB2312" w:hAnsi="Times New Roman"/>
                <w:sz w:val="20"/>
                <w:szCs w:val="20"/>
              </w:rPr>
              <w:t>本部门、本单位预算绩效管理领导小组</w:t>
            </w:r>
            <w:r>
              <w:rPr>
                <w:rFonts w:ascii="Times New Roman" w:eastAsia="仿宋_GB2312" w:hAnsi="Times New Roman"/>
                <w:sz w:val="20"/>
                <w:szCs w:val="20"/>
              </w:rPr>
              <w:t>/</w:t>
            </w:r>
            <w:r>
              <w:rPr>
                <w:rFonts w:ascii="Times New Roman" w:eastAsia="仿宋_GB2312" w:hAnsi="Times New Roman"/>
                <w:sz w:val="20"/>
                <w:szCs w:val="20"/>
              </w:rPr>
              <w:t>绩效评价工作小组有关文件盖章的电子版</w:t>
            </w:r>
          </w:p>
        </w:tc>
      </w:tr>
      <w:tr w:rsidR="00365B06">
        <w:trPr>
          <w:jc w:val="center"/>
        </w:trPr>
        <w:tc>
          <w:tcPr>
            <w:tcW w:w="745" w:type="dxa"/>
            <w:vMerge w:val="restart"/>
            <w:tcBorders>
              <w:top w:val="single" w:sz="4" w:space="0" w:color="auto"/>
              <w:left w:val="single" w:sz="4" w:space="0" w:color="auto"/>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实施评价</w:t>
            </w:r>
          </w:p>
          <w:p w:rsidR="00365B06" w:rsidRDefault="00365B06">
            <w:pPr>
              <w:spacing w:line="300" w:lineRule="exact"/>
              <w:jc w:val="center"/>
              <w:rPr>
                <w:rFonts w:ascii="Times New Roman" w:eastAsia="仿宋_GB2312" w:hAnsi="Times New Roman"/>
                <w:sz w:val="20"/>
                <w:szCs w:val="20"/>
              </w:rPr>
            </w:pPr>
          </w:p>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20</w:t>
            </w:r>
            <w:r>
              <w:rPr>
                <w:rFonts w:ascii="Times New Roman" w:eastAsia="仿宋_GB2312" w:hAnsi="Times New Roman"/>
                <w:sz w:val="20"/>
                <w:szCs w:val="20"/>
              </w:rPr>
              <w:t>分</w:t>
            </w:r>
          </w:p>
        </w:tc>
        <w:tc>
          <w:tcPr>
            <w:tcW w:w="1174"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单位自查</w:t>
            </w:r>
          </w:p>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w:t>
            </w:r>
            <w:r>
              <w:rPr>
                <w:rFonts w:ascii="Times New Roman" w:eastAsia="仿宋_GB2312" w:hAnsi="Times New Roman"/>
                <w:sz w:val="20"/>
                <w:szCs w:val="20"/>
              </w:rPr>
              <w:t>10</w:t>
            </w:r>
            <w:r>
              <w:rPr>
                <w:rFonts w:ascii="Times New Roman" w:eastAsia="仿宋_GB2312" w:hAnsi="Times New Roman"/>
                <w:sz w:val="20"/>
                <w:szCs w:val="20"/>
              </w:rPr>
              <w:t>分）</w:t>
            </w:r>
          </w:p>
        </w:tc>
        <w:tc>
          <w:tcPr>
            <w:tcW w:w="5000"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rPr>
                <w:rFonts w:ascii="Times New Roman" w:eastAsia="仿宋_GB2312" w:hAnsi="Times New Roman"/>
                <w:sz w:val="20"/>
                <w:szCs w:val="20"/>
              </w:rPr>
            </w:pPr>
            <w:r>
              <w:rPr>
                <w:rFonts w:ascii="Times New Roman" w:eastAsia="仿宋_GB2312" w:hAnsi="Times New Roman" w:hint="eastAsia"/>
                <w:sz w:val="20"/>
                <w:szCs w:val="20"/>
              </w:rPr>
              <w:t>市级</w:t>
            </w:r>
            <w:r>
              <w:rPr>
                <w:rFonts w:ascii="Times New Roman" w:eastAsia="仿宋_GB2312" w:hAnsi="Times New Roman"/>
                <w:sz w:val="20"/>
                <w:szCs w:val="20"/>
              </w:rPr>
              <w:t>预算部门本级和所属单位都要开展绩效自查，转移支付项目单位都要开展绩效自查，</w:t>
            </w:r>
            <w:r>
              <w:rPr>
                <w:rFonts w:ascii="Times New Roman" w:eastAsia="仿宋_GB2312" w:hAnsi="Times New Roman" w:hint="eastAsia"/>
                <w:sz w:val="20"/>
                <w:szCs w:val="20"/>
              </w:rPr>
              <w:t>县、区</w:t>
            </w:r>
            <w:r>
              <w:rPr>
                <w:rFonts w:ascii="Times New Roman" w:eastAsia="仿宋_GB2312" w:hAnsi="Times New Roman"/>
                <w:sz w:val="20"/>
                <w:szCs w:val="20"/>
              </w:rPr>
              <w:t>级主管部门都要汇总本区域转移支付情况；以上</w:t>
            </w:r>
            <w:proofErr w:type="gramStart"/>
            <w:r>
              <w:rPr>
                <w:rFonts w:ascii="Times New Roman" w:eastAsia="仿宋_GB2312" w:hAnsi="Times New Roman"/>
                <w:sz w:val="20"/>
                <w:szCs w:val="20"/>
              </w:rPr>
              <w:t>各项每</w:t>
            </w:r>
            <w:proofErr w:type="gramEnd"/>
            <w:r>
              <w:rPr>
                <w:rFonts w:ascii="Times New Roman" w:eastAsia="仿宋_GB2312" w:hAnsi="Times New Roman"/>
                <w:sz w:val="20"/>
                <w:szCs w:val="20"/>
              </w:rPr>
              <w:t>发现一个单位没有做相应工作的，扣</w:t>
            </w:r>
            <w:r>
              <w:rPr>
                <w:rFonts w:ascii="Times New Roman" w:eastAsia="仿宋_GB2312" w:hAnsi="Times New Roman"/>
                <w:sz w:val="20"/>
                <w:szCs w:val="20"/>
              </w:rPr>
              <w:t>1</w:t>
            </w:r>
            <w:r>
              <w:rPr>
                <w:rFonts w:ascii="Times New Roman" w:eastAsia="仿宋_GB2312" w:hAnsi="Times New Roman"/>
                <w:sz w:val="20"/>
                <w:szCs w:val="20"/>
              </w:rPr>
              <w:t>分，最多扣</w:t>
            </w:r>
            <w:r>
              <w:rPr>
                <w:rFonts w:ascii="Times New Roman" w:eastAsia="仿宋_GB2312" w:hAnsi="Times New Roman"/>
                <w:sz w:val="20"/>
                <w:szCs w:val="20"/>
              </w:rPr>
              <w:t>10</w:t>
            </w:r>
            <w:r>
              <w:rPr>
                <w:rFonts w:ascii="Times New Roman" w:eastAsia="仿宋_GB2312" w:hAnsi="Times New Roman"/>
                <w:sz w:val="20"/>
                <w:szCs w:val="20"/>
              </w:rPr>
              <w:t>分。</w:t>
            </w:r>
          </w:p>
        </w:tc>
        <w:tc>
          <w:tcPr>
            <w:tcW w:w="3022" w:type="dxa"/>
            <w:tcBorders>
              <w:top w:val="single" w:sz="4" w:space="0" w:color="auto"/>
              <w:left w:val="nil"/>
              <w:bottom w:val="single" w:sz="4" w:space="0" w:color="auto"/>
              <w:right w:val="single" w:sz="4" w:space="0" w:color="auto"/>
            </w:tcBorders>
            <w:noWrap/>
            <w:vAlign w:val="center"/>
          </w:tcPr>
          <w:p w:rsidR="00365B06" w:rsidRDefault="00353FA0">
            <w:pPr>
              <w:numPr>
                <w:ilvl w:val="0"/>
                <w:numId w:val="8"/>
              </w:numPr>
              <w:spacing w:line="300" w:lineRule="exact"/>
              <w:rPr>
                <w:rFonts w:ascii="Times New Roman" w:eastAsia="仿宋_GB2312" w:hAnsi="Times New Roman"/>
                <w:sz w:val="20"/>
                <w:szCs w:val="20"/>
              </w:rPr>
            </w:pPr>
            <w:r>
              <w:rPr>
                <w:rFonts w:ascii="Times New Roman" w:eastAsia="仿宋_GB2312" w:hAnsi="Times New Roman"/>
                <w:sz w:val="20"/>
                <w:szCs w:val="20"/>
              </w:rPr>
              <w:t>转移支付项目单位名称和</w:t>
            </w:r>
            <w:proofErr w:type="gramStart"/>
            <w:r>
              <w:rPr>
                <w:rFonts w:ascii="Times New Roman" w:eastAsia="仿宋_GB2312" w:hAnsi="Times New Roman"/>
                <w:sz w:val="20"/>
                <w:szCs w:val="20"/>
              </w:rPr>
              <w:t>资</w:t>
            </w:r>
            <w:r>
              <w:rPr>
                <w:rFonts w:ascii="Times New Roman" w:eastAsia="仿宋_GB2312" w:hAnsi="Times New Roman" w:hint="eastAsia"/>
                <w:sz w:val="20"/>
                <w:szCs w:val="20"/>
              </w:rPr>
              <w:t xml:space="preserve"> </w:t>
            </w:r>
            <w:proofErr w:type="gramEnd"/>
            <w:r>
              <w:rPr>
                <w:rFonts w:ascii="Times New Roman" w:eastAsia="仿宋_GB2312" w:hAnsi="Times New Roman"/>
                <w:sz w:val="20"/>
                <w:szCs w:val="20"/>
              </w:rPr>
              <w:t>金情况清单</w:t>
            </w:r>
          </w:p>
          <w:p w:rsidR="00365B06" w:rsidRDefault="00353FA0">
            <w:pPr>
              <w:numPr>
                <w:ilvl w:val="0"/>
                <w:numId w:val="8"/>
              </w:numPr>
              <w:spacing w:line="300" w:lineRule="exact"/>
              <w:rPr>
                <w:rFonts w:ascii="Times New Roman" w:eastAsia="仿宋_GB2312" w:hAnsi="Times New Roman"/>
                <w:sz w:val="20"/>
                <w:szCs w:val="20"/>
              </w:rPr>
            </w:pPr>
            <w:r>
              <w:rPr>
                <w:rFonts w:ascii="Times New Roman" w:eastAsia="仿宋_GB2312" w:hAnsi="Times New Roman"/>
                <w:sz w:val="20"/>
                <w:szCs w:val="20"/>
              </w:rPr>
              <w:t>有转移支付资金的各</w:t>
            </w:r>
            <w:r>
              <w:rPr>
                <w:rFonts w:ascii="Times New Roman" w:eastAsia="仿宋_GB2312" w:hAnsi="Times New Roman" w:hint="eastAsia"/>
                <w:sz w:val="20"/>
                <w:szCs w:val="20"/>
              </w:rPr>
              <w:t>县区</w:t>
            </w:r>
            <w:r>
              <w:rPr>
                <w:rFonts w:ascii="Times New Roman" w:eastAsia="仿宋_GB2312" w:hAnsi="Times New Roman"/>
                <w:sz w:val="20"/>
                <w:szCs w:val="20"/>
              </w:rPr>
              <w:t>主管部门汇总情况的盖章</w:t>
            </w:r>
            <w:r>
              <w:rPr>
                <w:rFonts w:ascii="Times New Roman" w:eastAsia="仿宋_GB2312" w:hAnsi="Times New Roman"/>
                <w:sz w:val="20"/>
                <w:szCs w:val="20"/>
              </w:rPr>
              <w:t>PDF</w:t>
            </w:r>
            <w:r>
              <w:rPr>
                <w:rFonts w:ascii="Times New Roman" w:eastAsia="仿宋_GB2312" w:hAnsi="Times New Roman"/>
                <w:sz w:val="20"/>
                <w:szCs w:val="20"/>
              </w:rPr>
              <w:t xml:space="preserve">版　</w:t>
            </w:r>
          </w:p>
        </w:tc>
      </w:tr>
      <w:tr w:rsidR="00365B06">
        <w:trPr>
          <w:jc w:val="center"/>
        </w:trPr>
        <w:tc>
          <w:tcPr>
            <w:tcW w:w="745" w:type="dxa"/>
            <w:vMerge/>
            <w:tcBorders>
              <w:left w:val="single" w:sz="4" w:space="0" w:color="auto"/>
              <w:bottom w:val="single" w:sz="4" w:space="0" w:color="auto"/>
              <w:right w:val="single" w:sz="4" w:space="0" w:color="auto"/>
            </w:tcBorders>
            <w:noWrap/>
            <w:vAlign w:val="center"/>
          </w:tcPr>
          <w:p w:rsidR="00365B06" w:rsidRDefault="00365B06">
            <w:pPr>
              <w:spacing w:line="300" w:lineRule="exact"/>
              <w:rPr>
                <w:rFonts w:ascii="Times New Roman" w:eastAsia="仿宋_GB2312" w:hAnsi="Times New Roman"/>
                <w:sz w:val="20"/>
                <w:szCs w:val="20"/>
              </w:rPr>
            </w:pPr>
          </w:p>
        </w:tc>
        <w:tc>
          <w:tcPr>
            <w:tcW w:w="1174" w:type="dxa"/>
            <w:tcBorders>
              <w:top w:val="nil"/>
              <w:left w:val="nil"/>
              <w:bottom w:val="single" w:sz="4" w:space="0" w:color="auto"/>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提交报告</w:t>
            </w:r>
          </w:p>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w:t>
            </w:r>
            <w:r>
              <w:rPr>
                <w:rFonts w:ascii="Times New Roman" w:eastAsia="仿宋_GB2312" w:hAnsi="Times New Roman"/>
                <w:sz w:val="20"/>
                <w:szCs w:val="20"/>
              </w:rPr>
              <w:t>10</w:t>
            </w:r>
            <w:r>
              <w:rPr>
                <w:rFonts w:ascii="Times New Roman" w:eastAsia="仿宋_GB2312" w:hAnsi="Times New Roman"/>
                <w:sz w:val="20"/>
                <w:szCs w:val="20"/>
              </w:rPr>
              <w:t>分）</w:t>
            </w:r>
          </w:p>
        </w:tc>
        <w:tc>
          <w:tcPr>
            <w:tcW w:w="8022" w:type="dxa"/>
            <w:gridSpan w:val="2"/>
            <w:tcBorders>
              <w:top w:val="nil"/>
              <w:left w:val="nil"/>
              <w:bottom w:val="single" w:sz="4" w:space="0" w:color="auto"/>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按时向</w:t>
            </w:r>
            <w:r>
              <w:rPr>
                <w:rFonts w:ascii="Times New Roman" w:eastAsia="仿宋_GB2312" w:hAnsi="Times New Roman" w:hint="eastAsia"/>
                <w:sz w:val="20"/>
                <w:szCs w:val="20"/>
              </w:rPr>
              <w:t>市财政局</w:t>
            </w:r>
            <w:r>
              <w:rPr>
                <w:rFonts w:ascii="Times New Roman" w:eastAsia="仿宋_GB2312" w:hAnsi="Times New Roman"/>
                <w:sz w:val="20"/>
                <w:szCs w:val="20"/>
              </w:rPr>
              <w:t>报送报告的得</w:t>
            </w:r>
            <w:r>
              <w:rPr>
                <w:rFonts w:ascii="Times New Roman" w:eastAsia="仿宋_GB2312" w:hAnsi="Times New Roman"/>
                <w:sz w:val="20"/>
                <w:szCs w:val="20"/>
              </w:rPr>
              <w:t>10</w:t>
            </w:r>
            <w:r>
              <w:rPr>
                <w:rFonts w:ascii="Times New Roman" w:eastAsia="仿宋_GB2312" w:hAnsi="Times New Roman"/>
                <w:sz w:val="20"/>
                <w:szCs w:val="20"/>
              </w:rPr>
              <w:t>分；每推迟一个工作日报送报告的扣</w:t>
            </w:r>
            <w:r>
              <w:rPr>
                <w:rFonts w:ascii="Times New Roman" w:eastAsia="仿宋_GB2312" w:hAnsi="Times New Roman"/>
                <w:sz w:val="20"/>
                <w:szCs w:val="20"/>
              </w:rPr>
              <w:t>1</w:t>
            </w:r>
            <w:r>
              <w:rPr>
                <w:rFonts w:ascii="Times New Roman" w:eastAsia="仿宋_GB2312" w:hAnsi="Times New Roman"/>
                <w:sz w:val="20"/>
                <w:szCs w:val="20"/>
              </w:rPr>
              <w:t>分，最多扣</w:t>
            </w:r>
            <w:r>
              <w:rPr>
                <w:rFonts w:ascii="Times New Roman" w:eastAsia="仿宋_GB2312" w:hAnsi="Times New Roman"/>
                <w:sz w:val="20"/>
                <w:szCs w:val="20"/>
              </w:rPr>
              <w:t>10</w:t>
            </w:r>
            <w:r>
              <w:rPr>
                <w:rFonts w:ascii="Times New Roman" w:eastAsia="仿宋_GB2312" w:hAnsi="Times New Roman"/>
                <w:sz w:val="20"/>
                <w:szCs w:val="20"/>
              </w:rPr>
              <w:t>分。</w:t>
            </w:r>
          </w:p>
        </w:tc>
      </w:tr>
      <w:tr w:rsidR="00365B06">
        <w:trPr>
          <w:trHeight w:val="740"/>
          <w:jc w:val="center"/>
        </w:trPr>
        <w:tc>
          <w:tcPr>
            <w:tcW w:w="745" w:type="dxa"/>
            <w:vMerge w:val="restart"/>
            <w:tcBorders>
              <w:top w:val="single" w:sz="4" w:space="0" w:color="auto"/>
              <w:left w:val="single" w:sz="4" w:space="0" w:color="auto"/>
              <w:bottom w:val="single" w:sz="4" w:space="0" w:color="auto"/>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自评报告</w:t>
            </w:r>
          </w:p>
          <w:p w:rsidR="00365B06" w:rsidRDefault="00365B06">
            <w:pPr>
              <w:spacing w:line="300" w:lineRule="exact"/>
              <w:jc w:val="center"/>
              <w:rPr>
                <w:rFonts w:ascii="Times New Roman" w:eastAsia="仿宋_GB2312" w:hAnsi="Times New Roman"/>
                <w:sz w:val="20"/>
                <w:szCs w:val="20"/>
              </w:rPr>
            </w:pPr>
          </w:p>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70</w:t>
            </w:r>
            <w:r>
              <w:rPr>
                <w:rFonts w:ascii="Times New Roman" w:eastAsia="仿宋_GB2312" w:hAnsi="Times New Roman"/>
                <w:sz w:val="20"/>
                <w:szCs w:val="20"/>
              </w:rPr>
              <w:t>分</w:t>
            </w:r>
          </w:p>
        </w:tc>
        <w:tc>
          <w:tcPr>
            <w:tcW w:w="1174"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完整性</w:t>
            </w:r>
          </w:p>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w:t>
            </w:r>
            <w:r>
              <w:rPr>
                <w:rFonts w:ascii="Times New Roman" w:eastAsia="仿宋_GB2312" w:hAnsi="Times New Roman"/>
                <w:sz w:val="20"/>
                <w:szCs w:val="20"/>
              </w:rPr>
              <w:t>15</w:t>
            </w:r>
            <w:r>
              <w:rPr>
                <w:rFonts w:ascii="Times New Roman" w:eastAsia="仿宋_GB2312" w:hAnsi="Times New Roman"/>
                <w:sz w:val="20"/>
                <w:szCs w:val="20"/>
              </w:rPr>
              <w:t>分）</w:t>
            </w:r>
          </w:p>
        </w:tc>
        <w:tc>
          <w:tcPr>
            <w:tcW w:w="8022" w:type="dxa"/>
            <w:gridSpan w:val="2"/>
            <w:tcBorders>
              <w:top w:val="single" w:sz="4" w:space="0" w:color="auto"/>
              <w:left w:val="nil"/>
              <w:bottom w:val="single" w:sz="4" w:space="0" w:color="auto"/>
              <w:right w:val="single" w:sz="4" w:space="0" w:color="auto"/>
            </w:tcBorders>
            <w:noWrap/>
            <w:vAlign w:val="center"/>
          </w:tcPr>
          <w:p w:rsidR="00365B06" w:rsidRDefault="00353FA0">
            <w:pPr>
              <w:rPr>
                <w:rFonts w:ascii="Times New Roman" w:eastAsia="仿宋_GB2312" w:hAnsi="Times New Roman"/>
                <w:sz w:val="20"/>
                <w:szCs w:val="20"/>
              </w:rPr>
            </w:pPr>
            <w:r>
              <w:rPr>
                <w:rFonts w:ascii="Times New Roman" w:eastAsia="仿宋_GB2312" w:hAnsi="Times New Roman"/>
                <w:sz w:val="20"/>
                <w:szCs w:val="20"/>
              </w:rPr>
              <w:t>1</w:t>
            </w:r>
            <w:r>
              <w:rPr>
                <w:rFonts w:ascii="Times New Roman" w:eastAsia="仿宋_GB2312" w:hAnsi="Times New Roman" w:hint="eastAsia"/>
                <w:sz w:val="20"/>
                <w:szCs w:val="20"/>
              </w:rPr>
              <w:t>.</w:t>
            </w:r>
            <w:r>
              <w:rPr>
                <w:rFonts w:ascii="Times New Roman" w:eastAsia="仿宋_GB2312" w:hAnsi="Times New Roman"/>
                <w:sz w:val="20"/>
                <w:szCs w:val="20"/>
              </w:rPr>
              <w:t>绩效自评报告正文部分内容齐全的，得</w:t>
            </w:r>
            <w:r>
              <w:rPr>
                <w:rFonts w:ascii="Times New Roman" w:eastAsia="仿宋_GB2312" w:hAnsi="Times New Roman"/>
                <w:sz w:val="20"/>
                <w:szCs w:val="20"/>
              </w:rPr>
              <w:t>8</w:t>
            </w:r>
            <w:r>
              <w:rPr>
                <w:rFonts w:ascii="Times New Roman" w:eastAsia="仿宋_GB2312" w:hAnsi="Times New Roman"/>
                <w:sz w:val="20"/>
                <w:szCs w:val="20"/>
              </w:rPr>
              <w:t>分；否则每少一个部分扣</w:t>
            </w:r>
            <w:r>
              <w:rPr>
                <w:rFonts w:ascii="Times New Roman" w:eastAsia="仿宋_GB2312" w:hAnsi="Times New Roman"/>
                <w:sz w:val="20"/>
                <w:szCs w:val="20"/>
              </w:rPr>
              <w:t>2</w:t>
            </w:r>
            <w:r>
              <w:rPr>
                <w:rFonts w:ascii="Times New Roman" w:eastAsia="仿宋_GB2312" w:hAnsi="Times New Roman"/>
                <w:sz w:val="20"/>
                <w:szCs w:val="20"/>
              </w:rPr>
              <w:t>分，最多扣</w:t>
            </w:r>
            <w:r>
              <w:rPr>
                <w:rFonts w:ascii="Times New Roman" w:eastAsia="仿宋_GB2312" w:hAnsi="Times New Roman"/>
                <w:sz w:val="20"/>
                <w:szCs w:val="20"/>
              </w:rPr>
              <w:t>8</w:t>
            </w:r>
            <w:r>
              <w:rPr>
                <w:rFonts w:ascii="Times New Roman" w:eastAsia="仿宋_GB2312" w:hAnsi="Times New Roman"/>
                <w:sz w:val="20"/>
                <w:szCs w:val="20"/>
              </w:rPr>
              <w:t>分。</w:t>
            </w:r>
          </w:p>
          <w:p w:rsidR="00365B06" w:rsidRDefault="00353FA0">
            <w:pPr>
              <w:jc w:val="left"/>
              <w:rPr>
                <w:rFonts w:ascii="Times New Roman" w:eastAsia="仿宋_GB2312" w:hAnsi="Times New Roman"/>
                <w:sz w:val="20"/>
                <w:szCs w:val="20"/>
              </w:rPr>
            </w:pPr>
            <w:r>
              <w:rPr>
                <w:rFonts w:ascii="Times New Roman" w:eastAsia="仿宋_GB2312" w:hAnsi="Times New Roman"/>
                <w:sz w:val="20"/>
                <w:szCs w:val="20"/>
              </w:rPr>
              <w:t>2</w:t>
            </w:r>
            <w:r>
              <w:rPr>
                <w:rFonts w:ascii="Times New Roman" w:eastAsia="仿宋_GB2312" w:hAnsi="Times New Roman" w:hint="eastAsia"/>
                <w:sz w:val="20"/>
                <w:szCs w:val="20"/>
              </w:rPr>
              <w:t>.</w:t>
            </w:r>
            <w:r>
              <w:rPr>
                <w:rFonts w:ascii="Times New Roman" w:eastAsia="仿宋_GB2312" w:hAnsi="Times New Roman"/>
                <w:sz w:val="20"/>
                <w:szCs w:val="20"/>
              </w:rPr>
              <w:t>绩效自评报告附件部分内容齐全的，得</w:t>
            </w:r>
            <w:r>
              <w:rPr>
                <w:rFonts w:ascii="Times New Roman" w:eastAsia="仿宋_GB2312" w:hAnsi="Times New Roman"/>
                <w:sz w:val="20"/>
                <w:szCs w:val="20"/>
              </w:rPr>
              <w:t>7</w:t>
            </w:r>
            <w:r>
              <w:rPr>
                <w:rFonts w:ascii="Times New Roman" w:eastAsia="仿宋_GB2312" w:hAnsi="Times New Roman"/>
                <w:sz w:val="20"/>
                <w:szCs w:val="20"/>
              </w:rPr>
              <w:t>分；否则每少一个部分扣</w:t>
            </w:r>
            <w:r>
              <w:rPr>
                <w:rFonts w:ascii="Times New Roman" w:eastAsia="仿宋_GB2312" w:hAnsi="Times New Roman"/>
                <w:sz w:val="20"/>
                <w:szCs w:val="20"/>
              </w:rPr>
              <w:t>2</w:t>
            </w:r>
            <w:r>
              <w:rPr>
                <w:rFonts w:ascii="Times New Roman" w:eastAsia="仿宋_GB2312" w:hAnsi="Times New Roman"/>
                <w:sz w:val="20"/>
                <w:szCs w:val="20"/>
              </w:rPr>
              <w:t>分，最多扣</w:t>
            </w:r>
            <w:r>
              <w:rPr>
                <w:rFonts w:ascii="Times New Roman" w:eastAsia="仿宋_GB2312" w:hAnsi="Times New Roman"/>
                <w:sz w:val="20"/>
                <w:szCs w:val="20"/>
              </w:rPr>
              <w:t>7</w:t>
            </w:r>
            <w:r>
              <w:rPr>
                <w:rFonts w:ascii="Times New Roman" w:eastAsia="仿宋_GB2312" w:hAnsi="Times New Roman"/>
                <w:sz w:val="20"/>
                <w:szCs w:val="20"/>
              </w:rPr>
              <w:t>分。</w:t>
            </w:r>
          </w:p>
        </w:tc>
      </w:tr>
      <w:tr w:rsidR="00365B06">
        <w:trPr>
          <w:trHeight w:val="2143"/>
          <w:jc w:val="center"/>
        </w:trPr>
        <w:tc>
          <w:tcPr>
            <w:tcW w:w="745" w:type="dxa"/>
            <w:vMerge/>
            <w:tcBorders>
              <w:top w:val="single" w:sz="4" w:space="0" w:color="auto"/>
              <w:left w:val="single" w:sz="4" w:space="0" w:color="auto"/>
              <w:bottom w:val="single" w:sz="4" w:space="0" w:color="auto"/>
              <w:right w:val="single" w:sz="4" w:space="0" w:color="auto"/>
            </w:tcBorders>
            <w:noWrap/>
            <w:vAlign w:val="center"/>
          </w:tcPr>
          <w:p w:rsidR="00365B06" w:rsidRDefault="00365B06">
            <w:pPr>
              <w:spacing w:line="300" w:lineRule="exact"/>
              <w:rPr>
                <w:rFonts w:ascii="Times New Roman" w:eastAsia="仿宋_GB2312" w:hAnsi="Times New Roman"/>
                <w:sz w:val="20"/>
                <w:szCs w:val="20"/>
              </w:rPr>
            </w:pPr>
          </w:p>
        </w:tc>
        <w:tc>
          <w:tcPr>
            <w:tcW w:w="1174" w:type="dxa"/>
            <w:tcBorders>
              <w:top w:val="single" w:sz="4" w:space="0" w:color="auto"/>
              <w:left w:val="nil"/>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绩效</w:t>
            </w:r>
          </w:p>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自评表</w:t>
            </w:r>
          </w:p>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w:t>
            </w:r>
            <w:r>
              <w:rPr>
                <w:rFonts w:ascii="Times New Roman" w:eastAsia="仿宋_GB2312" w:hAnsi="Times New Roman"/>
                <w:sz w:val="20"/>
                <w:szCs w:val="20"/>
              </w:rPr>
              <w:t>20</w:t>
            </w:r>
            <w:r>
              <w:rPr>
                <w:rFonts w:ascii="Times New Roman" w:eastAsia="仿宋_GB2312" w:hAnsi="Times New Roman"/>
                <w:sz w:val="20"/>
                <w:szCs w:val="20"/>
              </w:rPr>
              <w:t>分）</w:t>
            </w:r>
          </w:p>
        </w:tc>
        <w:tc>
          <w:tcPr>
            <w:tcW w:w="8022" w:type="dxa"/>
            <w:gridSpan w:val="2"/>
            <w:tcBorders>
              <w:top w:val="single" w:sz="4" w:space="0" w:color="auto"/>
              <w:left w:val="nil"/>
              <w:bottom w:val="single" w:sz="4" w:space="0" w:color="auto"/>
              <w:right w:val="single" w:sz="4" w:space="0" w:color="auto"/>
            </w:tcBorders>
            <w:noWrap/>
            <w:vAlign w:val="center"/>
          </w:tcPr>
          <w:p w:rsidR="00365B06" w:rsidRDefault="00353FA0">
            <w:pPr>
              <w:rPr>
                <w:rFonts w:ascii="Times New Roman" w:eastAsia="仿宋_GB2312" w:hAnsi="Times New Roman"/>
                <w:sz w:val="20"/>
                <w:szCs w:val="20"/>
              </w:rPr>
            </w:pPr>
            <w:r>
              <w:rPr>
                <w:rFonts w:ascii="Times New Roman" w:eastAsia="仿宋_GB2312" w:hAnsi="Times New Roman"/>
                <w:sz w:val="20"/>
                <w:szCs w:val="20"/>
              </w:rPr>
              <w:t>1</w:t>
            </w:r>
            <w:r>
              <w:rPr>
                <w:rFonts w:ascii="Times New Roman" w:eastAsia="仿宋_GB2312" w:hAnsi="Times New Roman"/>
                <w:sz w:val="20"/>
                <w:szCs w:val="20"/>
              </w:rPr>
              <w:t>、部门整体支出和项目支出绩效指标反映产出、效益、服务对象满意度方面的指标和预算执行率的权重符合《</w:t>
            </w:r>
            <w:r>
              <w:rPr>
                <w:rFonts w:ascii="Times New Roman" w:eastAsia="仿宋_GB2312" w:hAnsi="Times New Roman" w:hint="eastAsia"/>
                <w:sz w:val="20"/>
                <w:szCs w:val="20"/>
              </w:rPr>
              <w:t>岳阳市市级</w:t>
            </w:r>
            <w:r>
              <w:rPr>
                <w:rFonts w:ascii="Times New Roman" w:eastAsia="仿宋_GB2312" w:hAnsi="Times New Roman"/>
                <w:sz w:val="20"/>
                <w:szCs w:val="20"/>
              </w:rPr>
              <w:t>预算部门绩效自评操作规程》要求的，得</w:t>
            </w:r>
            <w:r>
              <w:rPr>
                <w:rFonts w:ascii="Times New Roman" w:eastAsia="仿宋_GB2312" w:hAnsi="Times New Roman"/>
                <w:sz w:val="20"/>
                <w:szCs w:val="20"/>
              </w:rPr>
              <w:t>5</w:t>
            </w:r>
            <w:r>
              <w:rPr>
                <w:rFonts w:ascii="Times New Roman" w:eastAsia="仿宋_GB2312" w:hAnsi="Times New Roman"/>
                <w:sz w:val="20"/>
                <w:szCs w:val="20"/>
              </w:rPr>
              <w:t>分，否则按比例扣除相应的分数。</w:t>
            </w:r>
          </w:p>
          <w:p w:rsidR="00365B06" w:rsidRDefault="00353FA0">
            <w:pPr>
              <w:rPr>
                <w:rFonts w:ascii="Times New Roman" w:eastAsia="仿宋_GB2312" w:hAnsi="Times New Roman"/>
                <w:sz w:val="20"/>
                <w:szCs w:val="20"/>
              </w:rPr>
            </w:pPr>
            <w:r>
              <w:rPr>
                <w:rFonts w:ascii="Times New Roman" w:eastAsia="仿宋_GB2312" w:hAnsi="Times New Roman"/>
                <w:sz w:val="20"/>
                <w:szCs w:val="20"/>
              </w:rPr>
              <w:t>2</w:t>
            </w:r>
            <w:r>
              <w:rPr>
                <w:rFonts w:ascii="Times New Roman" w:eastAsia="仿宋_GB2312" w:hAnsi="Times New Roman" w:hint="eastAsia"/>
                <w:sz w:val="20"/>
                <w:szCs w:val="20"/>
              </w:rPr>
              <w:t>.</w:t>
            </w:r>
            <w:r>
              <w:rPr>
                <w:rFonts w:ascii="Times New Roman" w:eastAsia="仿宋_GB2312" w:hAnsi="Times New Roman"/>
                <w:sz w:val="20"/>
                <w:szCs w:val="20"/>
              </w:rPr>
              <w:t>部门整体支出和项目支出绩效指标全部细化到三级指标的，得</w:t>
            </w:r>
            <w:r>
              <w:rPr>
                <w:rFonts w:ascii="Times New Roman" w:eastAsia="仿宋_GB2312" w:hAnsi="Times New Roman"/>
                <w:sz w:val="20"/>
                <w:szCs w:val="20"/>
              </w:rPr>
              <w:t>5</w:t>
            </w:r>
            <w:r>
              <w:rPr>
                <w:rFonts w:ascii="Times New Roman" w:eastAsia="仿宋_GB2312" w:hAnsi="Times New Roman"/>
                <w:sz w:val="20"/>
                <w:szCs w:val="20"/>
              </w:rPr>
              <w:t>分；部分细化的，酌情扣分；没有细化的，不得分。</w:t>
            </w:r>
          </w:p>
          <w:p w:rsidR="00365B06" w:rsidRDefault="00353FA0">
            <w:pPr>
              <w:jc w:val="left"/>
              <w:rPr>
                <w:rFonts w:ascii="Times New Roman" w:eastAsia="仿宋_GB2312" w:hAnsi="Times New Roman"/>
                <w:sz w:val="20"/>
                <w:szCs w:val="20"/>
              </w:rPr>
            </w:pPr>
            <w:r>
              <w:rPr>
                <w:rFonts w:ascii="Times New Roman" w:eastAsia="仿宋_GB2312" w:hAnsi="Times New Roman"/>
                <w:sz w:val="20"/>
                <w:szCs w:val="20"/>
              </w:rPr>
              <w:t>3</w:t>
            </w:r>
            <w:r>
              <w:rPr>
                <w:rFonts w:ascii="Times New Roman" w:eastAsia="仿宋_GB2312" w:hAnsi="Times New Roman" w:hint="eastAsia"/>
                <w:sz w:val="20"/>
                <w:szCs w:val="20"/>
              </w:rPr>
              <w:t>.</w:t>
            </w:r>
            <w:r>
              <w:rPr>
                <w:rFonts w:ascii="Times New Roman" w:eastAsia="仿宋_GB2312" w:hAnsi="Times New Roman"/>
                <w:sz w:val="20"/>
                <w:szCs w:val="20"/>
              </w:rPr>
              <w:t>部门整体支出和项目支出三级绩效指标内涵明确、具体、可衡量的得</w:t>
            </w:r>
            <w:r>
              <w:rPr>
                <w:rFonts w:ascii="Times New Roman" w:eastAsia="仿宋_GB2312" w:hAnsi="Times New Roman"/>
                <w:sz w:val="20"/>
                <w:szCs w:val="20"/>
              </w:rPr>
              <w:t>5</w:t>
            </w:r>
            <w:r>
              <w:rPr>
                <w:rFonts w:ascii="Times New Roman" w:eastAsia="仿宋_GB2312" w:hAnsi="Times New Roman"/>
                <w:sz w:val="20"/>
                <w:szCs w:val="20"/>
              </w:rPr>
              <w:t>分；突出核心指标，精简实用的得</w:t>
            </w:r>
            <w:r>
              <w:rPr>
                <w:rFonts w:ascii="Times New Roman" w:eastAsia="仿宋_GB2312" w:hAnsi="Times New Roman"/>
                <w:sz w:val="20"/>
                <w:szCs w:val="20"/>
              </w:rPr>
              <w:t>3</w:t>
            </w:r>
            <w:r>
              <w:rPr>
                <w:rFonts w:ascii="Times New Roman" w:eastAsia="仿宋_GB2312" w:hAnsi="Times New Roman"/>
                <w:sz w:val="20"/>
                <w:szCs w:val="20"/>
              </w:rPr>
              <w:t>分；指标与部门整体支出和项目支出密切相关，全面反映产出和效益的得</w:t>
            </w:r>
            <w:r>
              <w:rPr>
                <w:rFonts w:ascii="Times New Roman" w:eastAsia="仿宋_GB2312" w:hAnsi="Times New Roman"/>
                <w:sz w:val="20"/>
                <w:szCs w:val="20"/>
              </w:rPr>
              <w:t>2</w:t>
            </w:r>
            <w:r>
              <w:rPr>
                <w:rFonts w:ascii="Times New Roman" w:eastAsia="仿宋_GB2312" w:hAnsi="Times New Roman"/>
                <w:sz w:val="20"/>
                <w:szCs w:val="20"/>
              </w:rPr>
              <w:t>分；否则，每项酌情扣分，最多扣</w:t>
            </w:r>
            <w:r>
              <w:rPr>
                <w:rFonts w:ascii="Times New Roman" w:eastAsia="仿宋_GB2312" w:hAnsi="Times New Roman"/>
                <w:sz w:val="20"/>
                <w:szCs w:val="20"/>
              </w:rPr>
              <w:t>10</w:t>
            </w:r>
            <w:r>
              <w:rPr>
                <w:rFonts w:ascii="Times New Roman" w:eastAsia="仿宋_GB2312" w:hAnsi="Times New Roman"/>
                <w:sz w:val="20"/>
                <w:szCs w:val="20"/>
              </w:rPr>
              <w:t>分。</w:t>
            </w:r>
          </w:p>
        </w:tc>
      </w:tr>
      <w:tr w:rsidR="00365B06">
        <w:trPr>
          <w:trHeight w:val="1197"/>
          <w:jc w:val="center"/>
        </w:trPr>
        <w:tc>
          <w:tcPr>
            <w:tcW w:w="745" w:type="dxa"/>
            <w:vMerge/>
            <w:tcBorders>
              <w:top w:val="single" w:sz="4" w:space="0" w:color="auto"/>
              <w:left w:val="single" w:sz="4" w:space="0" w:color="auto"/>
              <w:bottom w:val="single" w:sz="4" w:space="0" w:color="auto"/>
              <w:right w:val="single" w:sz="4" w:space="0" w:color="auto"/>
            </w:tcBorders>
            <w:noWrap/>
            <w:vAlign w:val="center"/>
          </w:tcPr>
          <w:p w:rsidR="00365B06" w:rsidRDefault="00365B06">
            <w:pPr>
              <w:spacing w:line="300" w:lineRule="exact"/>
              <w:jc w:val="center"/>
              <w:rPr>
                <w:rFonts w:ascii="Times New Roman" w:eastAsia="仿宋_GB2312" w:hAnsi="Times New Roman"/>
                <w:sz w:val="20"/>
                <w:szCs w:val="20"/>
              </w:rPr>
            </w:pPr>
          </w:p>
        </w:tc>
        <w:tc>
          <w:tcPr>
            <w:tcW w:w="1174" w:type="dxa"/>
            <w:tcBorders>
              <w:top w:val="single" w:sz="4" w:space="0" w:color="auto"/>
              <w:left w:val="nil"/>
              <w:bottom w:val="single" w:sz="4" w:space="0" w:color="auto"/>
              <w:right w:val="single" w:sz="4" w:space="0" w:color="auto"/>
            </w:tcBorders>
            <w:noWrap/>
            <w:vAlign w:val="center"/>
          </w:tcPr>
          <w:p w:rsidR="00365B06" w:rsidRDefault="00365B06">
            <w:pPr>
              <w:jc w:val="center"/>
              <w:rPr>
                <w:rFonts w:ascii="Times New Roman" w:hAnsi="Times New Roman"/>
              </w:rPr>
            </w:pPr>
          </w:p>
          <w:p w:rsidR="00365B06" w:rsidRDefault="00353FA0">
            <w:pPr>
              <w:jc w:val="center"/>
              <w:rPr>
                <w:rFonts w:ascii="Times New Roman" w:eastAsia="仿宋_GB2312" w:hAnsi="Times New Roman"/>
                <w:sz w:val="20"/>
                <w:szCs w:val="20"/>
              </w:rPr>
            </w:pPr>
            <w:r>
              <w:rPr>
                <w:rFonts w:ascii="Times New Roman" w:eastAsia="仿宋_GB2312" w:hAnsi="Times New Roman"/>
                <w:sz w:val="20"/>
                <w:szCs w:val="20"/>
              </w:rPr>
              <w:t>反映问</w:t>
            </w:r>
          </w:p>
          <w:p w:rsidR="00365B06" w:rsidRDefault="00353FA0">
            <w:pPr>
              <w:jc w:val="center"/>
              <w:rPr>
                <w:rFonts w:ascii="Times New Roman" w:eastAsia="仿宋_GB2312" w:hAnsi="Times New Roman"/>
                <w:sz w:val="20"/>
                <w:szCs w:val="20"/>
              </w:rPr>
            </w:pPr>
            <w:r>
              <w:rPr>
                <w:rFonts w:ascii="Times New Roman" w:eastAsia="仿宋_GB2312" w:hAnsi="Times New Roman"/>
                <w:sz w:val="20"/>
                <w:szCs w:val="20"/>
              </w:rPr>
              <w:t>题情况</w:t>
            </w:r>
          </w:p>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w:t>
            </w:r>
            <w:r>
              <w:rPr>
                <w:rFonts w:ascii="Times New Roman" w:eastAsia="仿宋_GB2312" w:hAnsi="Times New Roman"/>
                <w:sz w:val="20"/>
                <w:szCs w:val="20"/>
              </w:rPr>
              <w:t>20</w:t>
            </w:r>
            <w:r>
              <w:rPr>
                <w:rFonts w:ascii="Times New Roman" w:eastAsia="仿宋_GB2312" w:hAnsi="Times New Roman"/>
                <w:sz w:val="20"/>
                <w:szCs w:val="20"/>
              </w:rPr>
              <w:t>分）</w:t>
            </w:r>
          </w:p>
        </w:tc>
        <w:tc>
          <w:tcPr>
            <w:tcW w:w="8022" w:type="dxa"/>
            <w:gridSpan w:val="2"/>
            <w:tcBorders>
              <w:top w:val="single" w:sz="4" w:space="0" w:color="auto"/>
              <w:left w:val="nil"/>
              <w:bottom w:val="single" w:sz="4" w:space="0" w:color="auto"/>
              <w:right w:val="single" w:sz="4" w:space="0" w:color="auto"/>
            </w:tcBorders>
            <w:noWrap/>
            <w:vAlign w:val="center"/>
          </w:tcPr>
          <w:p w:rsidR="00365B06" w:rsidRDefault="00353FA0">
            <w:pPr>
              <w:jc w:val="left"/>
              <w:rPr>
                <w:rFonts w:ascii="Times New Roman" w:eastAsia="仿宋_GB2312" w:hAnsi="Times New Roman"/>
                <w:sz w:val="20"/>
                <w:szCs w:val="20"/>
              </w:rPr>
            </w:pPr>
            <w:r>
              <w:rPr>
                <w:rFonts w:ascii="Times New Roman" w:eastAsia="仿宋_GB2312" w:hAnsi="Times New Roman"/>
                <w:sz w:val="20"/>
                <w:szCs w:val="20"/>
              </w:rPr>
              <w:t>从预算和预算绩效管理，部门履职效能，资金分配、使用和管理，资产和财务管理，政府采购等方面归纳问题、分析原因全面的，得</w:t>
            </w:r>
            <w:r>
              <w:rPr>
                <w:rFonts w:ascii="Times New Roman" w:eastAsia="仿宋_GB2312" w:hAnsi="Times New Roman"/>
                <w:sz w:val="20"/>
                <w:szCs w:val="20"/>
              </w:rPr>
              <w:t>20</w:t>
            </w:r>
            <w:r>
              <w:rPr>
                <w:rFonts w:ascii="Times New Roman" w:eastAsia="仿宋_GB2312" w:hAnsi="Times New Roman"/>
                <w:sz w:val="20"/>
                <w:szCs w:val="20"/>
              </w:rPr>
              <w:t>分；反映问题、分析原因较全面的，得</w:t>
            </w:r>
            <w:r>
              <w:rPr>
                <w:rFonts w:ascii="Times New Roman" w:eastAsia="仿宋_GB2312" w:hAnsi="Times New Roman"/>
                <w:sz w:val="20"/>
                <w:szCs w:val="20"/>
              </w:rPr>
              <w:t>16—18</w:t>
            </w:r>
            <w:r>
              <w:rPr>
                <w:rFonts w:ascii="Times New Roman" w:eastAsia="仿宋_GB2312" w:hAnsi="Times New Roman"/>
                <w:sz w:val="20"/>
                <w:szCs w:val="20"/>
              </w:rPr>
              <w:t>分；反映问题、分析原因不全面的，得</w:t>
            </w:r>
            <w:r>
              <w:rPr>
                <w:rFonts w:ascii="Times New Roman" w:eastAsia="仿宋_GB2312" w:hAnsi="Times New Roman"/>
                <w:sz w:val="20"/>
                <w:szCs w:val="20"/>
              </w:rPr>
              <w:t>13—15</w:t>
            </w:r>
            <w:r>
              <w:rPr>
                <w:rFonts w:ascii="Times New Roman" w:eastAsia="仿宋_GB2312" w:hAnsi="Times New Roman"/>
                <w:sz w:val="20"/>
                <w:szCs w:val="20"/>
              </w:rPr>
              <w:t>分；问题未归纳且过于简单的，得</w:t>
            </w:r>
            <w:r>
              <w:rPr>
                <w:rFonts w:ascii="Times New Roman" w:eastAsia="仿宋_GB2312" w:hAnsi="Times New Roman"/>
                <w:sz w:val="20"/>
                <w:szCs w:val="20"/>
              </w:rPr>
              <w:t>10—12</w:t>
            </w:r>
            <w:r>
              <w:rPr>
                <w:rFonts w:ascii="Times New Roman" w:eastAsia="仿宋_GB2312" w:hAnsi="Times New Roman"/>
                <w:sz w:val="20"/>
                <w:szCs w:val="20"/>
              </w:rPr>
              <w:t xml:space="preserve">分；只提出资金不足问题的不得分；其他情况酌情扣分。　</w:t>
            </w:r>
          </w:p>
        </w:tc>
      </w:tr>
      <w:tr w:rsidR="00365B06">
        <w:trPr>
          <w:trHeight w:val="627"/>
          <w:jc w:val="center"/>
        </w:trPr>
        <w:tc>
          <w:tcPr>
            <w:tcW w:w="745" w:type="dxa"/>
            <w:vMerge/>
            <w:tcBorders>
              <w:top w:val="single" w:sz="4" w:space="0" w:color="auto"/>
              <w:left w:val="single" w:sz="4" w:space="0" w:color="auto"/>
              <w:bottom w:val="single" w:sz="4" w:space="0" w:color="auto"/>
              <w:right w:val="single" w:sz="4" w:space="0" w:color="auto"/>
            </w:tcBorders>
            <w:noWrap/>
            <w:vAlign w:val="center"/>
          </w:tcPr>
          <w:p w:rsidR="00365B06" w:rsidRDefault="00365B06">
            <w:pPr>
              <w:spacing w:line="300" w:lineRule="exact"/>
              <w:rPr>
                <w:rFonts w:ascii="Times New Roman" w:eastAsia="仿宋_GB2312" w:hAnsi="Times New Roman"/>
                <w:sz w:val="20"/>
                <w:szCs w:val="20"/>
              </w:rPr>
            </w:pPr>
          </w:p>
        </w:tc>
        <w:tc>
          <w:tcPr>
            <w:tcW w:w="1174" w:type="dxa"/>
            <w:tcBorders>
              <w:top w:val="single" w:sz="4" w:space="0" w:color="auto"/>
              <w:left w:val="nil"/>
              <w:bottom w:val="single" w:sz="4" w:space="0" w:color="auto"/>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建议情况</w:t>
            </w:r>
          </w:p>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w:t>
            </w:r>
            <w:r>
              <w:rPr>
                <w:rFonts w:ascii="Times New Roman" w:eastAsia="仿宋_GB2312" w:hAnsi="Times New Roman"/>
                <w:sz w:val="20"/>
                <w:szCs w:val="20"/>
              </w:rPr>
              <w:t>15</w:t>
            </w:r>
            <w:r>
              <w:rPr>
                <w:rFonts w:ascii="Times New Roman" w:eastAsia="仿宋_GB2312" w:hAnsi="Times New Roman"/>
                <w:sz w:val="20"/>
                <w:szCs w:val="20"/>
              </w:rPr>
              <w:t>分）</w:t>
            </w:r>
          </w:p>
        </w:tc>
        <w:tc>
          <w:tcPr>
            <w:tcW w:w="8022" w:type="dxa"/>
            <w:gridSpan w:val="2"/>
            <w:tcBorders>
              <w:top w:val="single" w:sz="4" w:space="0" w:color="auto"/>
              <w:left w:val="nil"/>
              <w:bottom w:val="single" w:sz="4" w:space="0" w:color="auto"/>
              <w:right w:val="single" w:sz="4" w:space="0" w:color="auto"/>
            </w:tcBorders>
            <w:noWrap/>
            <w:vAlign w:val="center"/>
          </w:tcPr>
          <w:p w:rsidR="00365B06" w:rsidRDefault="00353FA0">
            <w:pPr>
              <w:jc w:val="left"/>
              <w:rPr>
                <w:rFonts w:ascii="Times New Roman" w:eastAsia="仿宋_GB2312" w:hAnsi="Times New Roman"/>
                <w:sz w:val="20"/>
                <w:szCs w:val="20"/>
              </w:rPr>
            </w:pPr>
            <w:r>
              <w:rPr>
                <w:rFonts w:ascii="Times New Roman" w:eastAsia="仿宋_GB2312" w:hAnsi="Times New Roman"/>
                <w:sz w:val="20"/>
                <w:szCs w:val="20"/>
              </w:rPr>
              <w:t>建议与问题对应且全面的得</w:t>
            </w:r>
            <w:r>
              <w:rPr>
                <w:rFonts w:ascii="Times New Roman" w:eastAsia="仿宋_GB2312" w:hAnsi="Times New Roman"/>
                <w:sz w:val="20"/>
                <w:szCs w:val="20"/>
              </w:rPr>
              <w:t>15</w:t>
            </w:r>
            <w:r>
              <w:rPr>
                <w:rFonts w:ascii="Times New Roman" w:eastAsia="仿宋_GB2312" w:hAnsi="Times New Roman"/>
                <w:sz w:val="20"/>
                <w:szCs w:val="20"/>
              </w:rPr>
              <w:t>分，建议比较全面的得</w:t>
            </w:r>
            <w:r>
              <w:rPr>
                <w:rFonts w:ascii="Times New Roman" w:eastAsia="仿宋_GB2312" w:hAnsi="Times New Roman"/>
                <w:sz w:val="20"/>
                <w:szCs w:val="20"/>
              </w:rPr>
              <w:t>12—14</w:t>
            </w:r>
            <w:r>
              <w:rPr>
                <w:rFonts w:ascii="Times New Roman" w:eastAsia="仿宋_GB2312" w:hAnsi="Times New Roman"/>
                <w:sz w:val="20"/>
                <w:szCs w:val="20"/>
              </w:rPr>
              <w:t>分，建议不全面的得</w:t>
            </w:r>
            <w:r>
              <w:rPr>
                <w:rFonts w:ascii="Times New Roman" w:eastAsia="仿宋_GB2312" w:hAnsi="Times New Roman"/>
                <w:sz w:val="20"/>
                <w:szCs w:val="20"/>
              </w:rPr>
              <w:t>9—11</w:t>
            </w:r>
            <w:r>
              <w:rPr>
                <w:rFonts w:ascii="Times New Roman" w:eastAsia="仿宋_GB2312" w:hAnsi="Times New Roman"/>
                <w:sz w:val="20"/>
                <w:szCs w:val="20"/>
              </w:rPr>
              <w:t>分，建议过于简单的得</w:t>
            </w:r>
            <w:r>
              <w:rPr>
                <w:rFonts w:ascii="Times New Roman" w:eastAsia="仿宋_GB2312" w:hAnsi="Times New Roman"/>
                <w:sz w:val="20"/>
                <w:szCs w:val="20"/>
              </w:rPr>
              <w:t>6—8</w:t>
            </w:r>
            <w:r>
              <w:rPr>
                <w:rFonts w:ascii="Times New Roman" w:eastAsia="仿宋_GB2312" w:hAnsi="Times New Roman"/>
                <w:sz w:val="20"/>
                <w:szCs w:val="20"/>
              </w:rPr>
              <w:t>分，只提出加大资金投入建议的不得分；其他情况酌情扣分。</w:t>
            </w:r>
          </w:p>
        </w:tc>
      </w:tr>
      <w:tr w:rsidR="00365B06">
        <w:trPr>
          <w:trHeight w:val="495"/>
          <w:jc w:val="center"/>
        </w:trPr>
        <w:tc>
          <w:tcPr>
            <w:tcW w:w="745" w:type="dxa"/>
            <w:tcBorders>
              <w:top w:val="single" w:sz="4" w:space="0" w:color="auto"/>
              <w:left w:val="single" w:sz="4" w:space="0" w:color="auto"/>
              <w:bottom w:val="single" w:sz="4" w:space="0" w:color="auto"/>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lastRenderedPageBreak/>
              <w:t>合计</w:t>
            </w:r>
          </w:p>
        </w:tc>
        <w:tc>
          <w:tcPr>
            <w:tcW w:w="1174" w:type="dxa"/>
            <w:tcBorders>
              <w:top w:val="single" w:sz="4" w:space="0" w:color="auto"/>
              <w:left w:val="single" w:sz="4" w:space="0" w:color="auto"/>
              <w:bottom w:val="single" w:sz="4" w:space="0" w:color="auto"/>
              <w:right w:val="single" w:sz="4" w:space="0" w:color="auto"/>
            </w:tcBorders>
            <w:noWrap/>
            <w:vAlign w:val="center"/>
          </w:tcPr>
          <w:p w:rsidR="00365B06" w:rsidRDefault="00353FA0">
            <w:pPr>
              <w:spacing w:line="300" w:lineRule="exact"/>
              <w:jc w:val="center"/>
              <w:rPr>
                <w:rFonts w:ascii="Times New Roman" w:eastAsia="仿宋_GB2312" w:hAnsi="Times New Roman"/>
                <w:sz w:val="20"/>
                <w:szCs w:val="20"/>
              </w:rPr>
            </w:pPr>
            <w:r>
              <w:rPr>
                <w:rFonts w:ascii="Times New Roman" w:eastAsia="仿宋_GB2312" w:hAnsi="Times New Roman"/>
                <w:sz w:val="20"/>
                <w:szCs w:val="20"/>
              </w:rPr>
              <w:t>100</w:t>
            </w:r>
            <w:r>
              <w:rPr>
                <w:rFonts w:ascii="Times New Roman" w:eastAsia="仿宋_GB2312" w:hAnsi="Times New Roman"/>
                <w:sz w:val="20"/>
                <w:szCs w:val="20"/>
              </w:rPr>
              <w:t>分</w:t>
            </w:r>
          </w:p>
        </w:tc>
        <w:tc>
          <w:tcPr>
            <w:tcW w:w="8022" w:type="dxa"/>
            <w:gridSpan w:val="2"/>
            <w:tcBorders>
              <w:top w:val="single" w:sz="4" w:space="0" w:color="auto"/>
              <w:left w:val="single" w:sz="4" w:space="0" w:color="auto"/>
              <w:bottom w:val="single" w:sz="4" w:space="0" w:color="auto"/>
              <w:right w:val="single" w:sz="4" w:space="0" w:color="auto"/>
            </w:tcBorders>
            <w:noWrap/>
            <w:vAlign w:val="center"/>
          </w:tcPr>
          <w:p w:rsidR="00365B06" w:rsidRDefault="00353FA0">
            <w:pPr>
              <w:spacing w:line="300" w:lineRule="exact"/>
              <w:rPr>
                <w:rFonts w:ascii="Times New Roman" w:eastAsia="仿宋_GB2312" w:hAnsi="Times New Roman"/>
                <w:sz w:val="20"/>
                <w:szCs w:val="20"/>
              </w:rPr>
            </w:pPr>
            <w:r>
              <w:rPr>
                <w:rFonts w:ascii="Times New Roman" w:eastAsia="仿宋_GB2312" w:hAnsi="Times New Roman"/>
                <w:sz w:val="20"/>
                <w:szCs w:val="20"/>
              </w:rPr>
              <w:t xml:space="preserve">　</w:t>
            </w:r>
            <w:r>
              <w:rPr>
                <w:rFonts w:ascii="Times New Roman" w:eastAsia="仿宋_GB2312" w:hAnsi="Times New Roman" w:hint="eastAsia"/>
                <w:sz w:val="20"/>
                <w:szCs w:val="20"/>
              </w:rPr>
              <w:t>98</w:t>
            </w:r>
          </w:p>
        </w:tc>
      </w:tr>
    </w:tbl>
    <w:p w:rsidR="00365B06" w:rsidRDefault="00365B06">
      <w:pPr>
        <w:spacing w:line="360" w:lineRule="auto"/>
        <w:rPr>
          <w:rFonts w:ascii="仿宋_GB2312" w:eastAsia="仿宋_GB2312" w:hAnsi="仿宋_GB2312" w:cs="仿宋_GB2312"/>
          <w:sz w:val="32"/>
          <w:szCs w:val="32"/>
        </w:rPr>
      </w:pPr>
    </w:p>
    <w:sectPr w:rsidR="00365B06" w:rsidSect="00365B0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1FF" w:rsidRDefault="000111FF" w:rsidP="00353FA0">
      <w:r>
        <w:separator/>
      </w:r>
    </w:p>
  </w:endnote>
  <w:endnote w:type="continuationSeparator" w:id="1">
    <w:p w:rsidR="000111FF" w:rsidRDefault="000111FF" w:rsidP="00353FA0">
      <w:r>
        <w:continuationSeparator/>
      </w:r>
    </w:p>
  </w:endnote>
</w:endnotes>
</file>

<file path=word/fontTable.xml><?xml version="1.0" encoding="utf-8"?>
<w:fonts xmlns:r="http://schemas.openxmlformats.org/officeDocument/2006/relationships" xmlns:w="http://schemas.openxmlformats.org/wordprocessingml/2006/main">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黑体"/>
    <w:charset w:val="86"/>
    <w:family w:val="auto"/>
    <w:pitch w:val="default"/>
    <w:sig w:usb0="00000000" w:usb1="00000000" w:usb2="00000000" w:usb3="00000000" w:csb0="00040000"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_GBK">
    <w:altName w:val="微软雅黑"/>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1FF" w:rsidRDefault="000111FF" w:rsidP="00353FA0">
      <w:r>
        <w:separator/>
      </w:r>
    </w:p>
  </w:footnote>
  <w:footnote w:type="continuationSeparator" w:id="1">
    <w:p w:rsidR="000111FF" w:rsidRDefault="000111FF" w:rsidP="00353F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19E57AF"/>
    <w:multiLevelType w:val="singleLevel"/>
    <w:tmpl w:val="C19E57AF"/>
    <w:lvl w:ilvl="0">
      <w:start w:val="2"/>
      <w:numFmt w:val="chineseCounting"/>
      <w:suff w:val="nothing"/>
      <w:lvlText w:val="（%1）"/>
      <w:lvlJc w:val="left"/>
      <w:pPr>
        <w:ind w:left="-360"/>
      </w:pPr>
      <w:rPr>
        <w:rFonts w:ascii="楷体" w:eastAsia="楷体" w:hAnsi="楷体" w:cs="楷体" w:hint="eastAsia"/>
        <w:sz w:val="32"/>
        <w:szCs w:val="32"/>
      </w:rPr>
    </w:lvl>
  </w:abstractNum>
  <w:abstractNum w:abstractNumId="1">
    <w:nsid w:val="DA81C459"/>
    <w:multiLevelType w:val="singleLevel"/>
    <w:tmpl w:val="DA81C459"/>
    <w:lvl w:ilvl="0">
      <w:start w:val="2"/>
      <w:numFmt w:val="chineseCounting"/>
      <w:suff w:val="nothing"/>
      <w:lvlText w:val="（%1）"/>
      <w:lvlJc w:val="left"/>
      <w:rPr>
        <w:rFonts w:ascii="楷体" w:eastAsia="楷体" w:hAnsi="楷体" w:cs="楷体" w:hint="eastAsia"/>
        <w:sz w:val="32"/>
        <w:szCs w:val="32"/>
      </w:rPr>
    </w:lvl>
  </w:abstractNum>
  <w:abstractNum w:abstractNumId="2">
    <w:nsid w:val="FC5BD96D"/>
    <w:multiLevelType w:val="singleLevel"/>
    <w:tmpl w:val="FC5BD96D"/>
    <w:lvl w:ilvl="0">
      <w:start w:val="1"/>
      <w:numFmt w:val="decimal"/>
      <w:suff w:val="nothing"/>
      <w:lvlText w:val="%1、"/>
      <w:lvlJc w:val="left"/>
    </w:lvl>
  </w:abstractNum>
  <w:abstractNum w:abstractNumId="3">
    <w:nsid w:val="1BCD131B"/>
    <w:multiLevelType w:val="singleLevel"/>
    <w:tmpl w:val="1BCD131B"/>
    <w:lvl w:ilvl="0">
      <w:start w:val="8"/>
      <w:numFmt w:val="chineseCounting"/>
      <w:suff w:val="nothing"/>
      <w:lvlText w:val="%1、"/>
      <w:lvlJc w:val="left"/>
      <w:rPr>
        <w:rFonts w:hint="eastAsia"/>
      </w:rPr>
    </w:lvl>
  </w:abstractNum>
  <w:abstractNum w:abstractNumId="4">
    <w:nsid w:val="1DD36296"/>
    <w:multiLevelType w:val="singleLevel"/>
    <w:tmpl w:val="1DD36296"/>
    <w:lvl w:ilvl="0">
      <w:start w:val="1"/>
      <w:numFmt w:val="chineseCounting"/>
      <w:suff w:val="nothing"/>
      <w:lvlText w:val="%1、"/>
      <w:lvlJc w:val="left"/>
      <w:rPr>
        <w:rFonts w:hint="eastAsia"/>
      </w:rPr>
    </w:lvl>
  </w:abstractNum>
  <w:abstractNum w:abstractNumId="5">
    <w:nsid w:val="59CC8B3D"/>
    <w:multiLevelType w:val="singleLevel"/>
    <w:tmpl w:val="59CC8B3D"/>
    <w:lvl w:ilvl="0">
      <w:start w:val="1"/>
      <w:numFmt w:val="chineseCounting"/>
      <w:suff w:val="nothing"/>
      <w:lvlText w:val="（%1）"/>
      <w:lvlJc w:val="left"/>
      <w:rPr>
        <w:rFonts w:hint="eastAsia"/>
      </w:rPr>
    </w:lvl>
  </w:abstractNum>
  <w:abstractNum w:abstractNumId="6">
    <w:nsid w:val="5DDF8822"/>
    <w:multiLevelType w:val="singleLevel"/>
    <w:tmpl w:val="5DDF8822"/>
    <w:lvl w:ilvl="0">
      <w:start w:val="1"/>
      <w:numFmt w:val="decimal"/>
      <w:suff w:val="nothing"/>
      <w:lvlText w:val="%1、"/>
      <w:lvlJc w:val="left"/>
    </w:lvl>
  </w:abstractNum>
  <w:abstractNum w:abstractNumId="7">
    <w:nsid w:val="72666873"/>
    <w:multiLevelType w:val="singleLevel"/>
    <w:tmpl w:val="72666873"/>
    <w:lvl w:ilvl="0">
      <w:start w:val="4"/>
      <w:numFmt w:val="chineseCounting"/>
      <w:suff w:val="nothing"/>
      <w:lvlText w:val="%1、"/>
      <w:lvlJc w:val="left"/>
      <w:rPr>
        <w:rFonts w:hint="eastAsia"/>
      </w:rPr>
    </w:lvl>
  </w:abstractNum>
  <w:num w:numId="1">
    <w:abstractNumId w:val="4"/>
  </w:num>
  <w:num w:numId="2">
    <w:abstractNumId w:val="5"/>
  </w:num>
  <w:num w:numId="3">
    <w:abstractNumId w:val="7"/>
  </w:num>
  <w:num w:numId="4">
    <w:abstractNumId w:val="2"/>
  </w:num>
  <w:num w:numId="5">
    <w:abstractNumId w:val="0"/>
  </w:num>
  <w:num w:numId="6">
    <w:abstractNumId w:val="3"/>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420"/>
  <w:drawingGridVerticalSpacing w:val="156"/>
  <w:noPunctuationKerning/>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jRhMjdlZjQ5YjRhZjNkYTU5MWJjNTdiM2YyYzk4OWIifQ=="/>
  </w:docVars>
  <w:rsids>
    <w:rsidRoot w:val="59886344"/>
    <w:rsid w:val="DFEF884A"/>
    <w:rsid w:val="000111FF"/>
    <w:rsid w:val="001A267D"/>
    <w:rsid w:val="00353FA0"/>
    <w:rsid w:val="00365B06"/>
    <w:rsid w:val="005D1DA9"/>
    <w:rsid w:val="00744992"/>
    <w:rsid w:val="009C0953"/>
    <w:rsid w:val="00E94F13"/>
    <w:rsid w:val="0A467A21"/>
    <w:rsid w:val="0E710FB3"/>
    <w:rsid w:val="1356560D"/>
    <w:rsid w:val="1AD81A1B"/>
    <w:rsid w:val="1CB462C1"/>
    <w:rsid w:val="1EF50984"/>
    <w:rsid w:val="1F38206B"/>
    <w:rsid w:val="22220C72"/>
    <w:rsid w:val="274176DD"/>
    <w:rsid w:val="2CB52ADF"/>
    <w:rsid w:val="2D7A1A9E"/>
    <w:rsid w:val="2E114AFB"/>
    <w:rsid w:val="36C93C0A"/>
    <w:rsid w:val="3A0164D6"/>
    <w:rsid w:val="3CE26112"/>
    <w:rsid w:val="424543E4"/>
    <w:rsid w:val="49C65963"/>
    <w:rsid w:val="55004DFD"/>
    <w:rsid w:val="58670CF0"/>
    <w:rsid w:val="597B2CA5"/>
    <w:rsid w:val="59886344"/>
    <w:rsid w:val="5A5A0E47"/>
    <w:rsid w:val="5C5A0BD2"/>
    <w:rsid w:val="5CCD6BA5"/>
    <w:rsid w:val="5CF9234B"/>
    <w:rsid w:val="5E94553F"/>
    <w:rsid w:val="6516562F"/>
    <w:rsid w:val="66954A48"/>
    <w:rsid w:val="66D77B48"/>
    <w:rsid w:val="68193552"/>
    <w:rsid w:val="6AD037C8"/>
    <w:rsid w:val="70C62A07"/>
    <w:rsid w:val="7A0505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semiHidden="1" w:qFormat="1"/>
    <w:lsdException w:name="Body Text Indent" w:uiPriority="99" w:unhideWhenUsed="1"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365B06"/>
    <w:pPr>
      <w:widowControl w:val="0"/>
      <w:jc w:val="both"/>
    </w:pPr>
    <w:rPr>
      <w:rFonts w:ascii="仿宋" w:hAnsi="仿宋"/>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rsid w:val="00365B06"/>
    <w:pPr>
      <w:spacing w:before="100" w:beforeAutospacing="1" w:after="0"/>
      <w:ind w:left="0" w:firstLineChars="200" w:firstLine="420"/>
    </w:pPr>
    <w:rPr>
      <w:rFonts w:ascii="Calibri" w:hAnsi="Calibri"/>
    </w:rPr>
  </w:style>
  <w:style w:type="paragraph" w:styleId="a3">
    <w:name w:val="Body Text Indent"/>
    <w:basedOn w:val="a"/>
    <w:uiPriority w:val="99"/>
    <w:unhideWhenUsed/>
    <w:qFormat/>
    <w:rsid w:val="00365B06"/>
    <w:pPr>
      <w:spacing w:after="120"/>
      <w:ind w:leftChars="200" w:left="420"/>
    </w:pPr>
  </w:style>
  <w:style w:type="paragraph" w:styleId="a4">
    <w:name w:val="Body Text"/>
    <w:basedOn w:val="a"/>
    <w:semiHidden/>
    <w:qFormat/>
    <w:rsid w:val="00365B06"/>
    <w:rPr>
      <w:rFonts w:eastAsia="仿宋" w:cs="仿宋"/>
      <w:sz w:val="31"/>
      <w:szCs w:val="31"/>
      <w:lang w:eastAsia="en-US"/>
    </w:rPr>
  </w:style>
  <w:style w:type="paragraph" w:styleId="a5">
    <w:name w:val="Normal (Web)"/>
    <w:basedOn w:val="a"/>
    <w:uiPriority w:val="99"/>
    <w:qFormat/>
    <w:rsid w:val="00365B06"/>
    <w:pPr>
      <w:spacing w:beforeAutospacing="1" w:afterAutospacing="1"/>
      <w:jc w:val="left"/>
    </w:pPr>
    <w:rPr>
      <w:sz w:val="24"/>
    </w:rPr>
  </w:style>
  <w:style w:type="character" w:styleId="a6">
    <w:name w:val="Strong"/>
    <w:basedOn w:val="a0"/>
    <w:qFormat/>
    <w:rsid w:val="00365B06"/>
    <w:rPr>
      <w:b/>
    </w:rPr>
  </w:style>
  <w:style w:type="paragraph" w:customStyle="1" w:styleId="1">
    <w:name w:val="列出段落1"/>
    <w:basedOn w:val="a"/>
    <w:uiPriority w:val="34"/>
    <w:qFormat/>
    <w:rsid w:val="00365B06"/>
    <w:pPr>
      <w:ind w:firstLineChars="200" w:firstLine="420"/>
    </w:pPr>
  </w:style>
  <w:style w:type="paragraph" w:styleId="a7">
    <w:name w:val="List Paragraph"/>
    <w:basedOn w:val="a"/>
    <w:uiPriority w:val="99"/>
    <w:qFormat/>
    <w:rsid w:val="00365B06"/>
    <w:pPr>
      <w:ind w:firstLineChars="200" w:firstLine="420"/>
    </w:pPr>
    <w:rPr>
      <w:rFonts w:ascii="Calibri" w:hAnsi="Calibri"/>
      <w:szCs w:val="22"/>
    </w:rPr>
  </w:style>
  <w:style w:type="paragraph" w:styleId="a8">
    <w:name w:val="header"/>
    <w:basedOn w:val="a"/>
    <w:link w:val="Char"/>
    <w:rsid w:val="00353F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8"/>
    <w:rsid w:val="00353FA0"/>
    <w:rPr>
      <w:rFonts w:ascii="仿宋" w:hAnsi="仿宋"/>
      <w:sz w:val="18"/>
      <w:szCs w:val="18"/>
    </w:rPr>
  </w:style>
  <w:style w:type="paragraph" w:styleId="a9">
    <w:name w:val="footer"/>
    <w:basedOn w:val="a"/>
    <w:link w:val="Char0"/>
    <w:rsid w:val="00353FA0"/>
    <w:pPr>
      <w:tabs>
        <w:tab w:val="center" w:pos="4153"/>
        <w:tab w:val="right" w:pos="8306"/>
      </w:tabs>
      <w:snapToGrid w:val="0"/>
      <w:jc w:val="left"/>
    </w:pPr>
    <w:rPr>
      <w:sz w:val="18"/>
      <w:szCs w:val="18"/>
    </w:rPr>
  </w:style>
  <w:style w:type="character" w:customStyle="1" w:styleId="Char0">
    <w:name w:val="页脚 Char"/>
    <w:basedOn w:val="a0"/>
    <w:link w:val="a9"/>
    <w:rsid w:val="00353FA0"/>
    <w:rPr>
      <w:rFonts w:ascii="仿宋" w:hAnsi="仿宋"/>
      <w:sz w:val="18"/>
      <w:szCs w:val="18"/>
    </w:rPr>
  </w:style>
</w:styles>
</file>

<file path=word/webSettings.xml><?xml version="1.0" encoding="utf-8"?>
<w:webSettings xmlns:r="http://schemas.openxmlformats.org/officeDocument/2006/relationships" xmlns:w="http://schemas.openxmlformats.org/wordprocessingml/2006/main">
  <w:divs>
    <w:div w:id="2079010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13</Pages>
  <Words>5508</Words>
  <Characters>1004</Characters>
  <Application>Microsoft Office Word</Application>
  <DocSecurity>0</DocSecurity>
  <Lines>8</Lines>
  <Paragraphs>12</Paragraphs>
  <ScaleCrop>false</ScaleCrop>
  <Company/>
  <LinksUpToDate>false</LinksUpToDate>
  <CharactersWithSpaces>6500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jsczpx02</cp:lastModifiedBy>
  <cp:revision>6</cp:revision>
  <dcterms:created xsi:type="dcterms:W3CDTF">2024-03-18T08:36:00Z</dcterms:created>
  <dcterms:modified xsi:type="dcterms:W3CDTF">2025-05-13T03:00:00Z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C57D92FC50714B589FF7E269257E5C57_13</vt:lpwstr>
  </property>
</Properties>
</file>