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6D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drawing>
          <wp:inline distT="0" distB="0" distL="114300" distR="114300">
            <wp:extent cx="5840730" cy="1885950"/>
            <wp:effectExtent l="0" t="0" r="7620" b="0"/>
            <wp:docPr id="1" name="图片 1" descr="C:\Users\ADMINI~1\AppData\Local\Temp\ksohtml\wps1BB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1BB1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A65C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</w:rPr>
      </w:pPr>
    </w:p>
    <w:p w14:paraId="24234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2024 年度教育费附加专项经费绩效自评报告</w:t>
      </w:r>
    </w:p>
    <w:p w14:paraId="579F6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一、项目基本情况</w:t>
      </w:r>
    </w:p>
    <w:p w14:paraId="78B3A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（一）项目背景</w:t>
      </w:r>
    </w:p>
    <w:p w14:paraId="063CC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2024年，为推动区域教育事业高质量发展，优化教育资源配置，提升教育教学水平，充分发挥教育费附加专项资金的导向作用，围绕教育领域重点工作，设立6项专项经费，总额达337.98万元。通过精准投入，着力解决校车安全运营、教学设备更新、师资队伍建设等关键问题，促进教育公平与均衡发展，为培养高素质人才提供坚实保障。</w:t>
      </w:r>
    </w:p>
    <w:p w14:paraId="1F9DE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（二）项目内容及预算安排</w:t>
      </w:r>
    </w:p>
    <w:p w14:paraId="6D434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校车营运补助及管理：预算115万元，主要用于校车日常运营补贴、维护保养、保险费用以及安全管理培训等，保障学生上下学交通安全，确保校车服务安全、高效运行。</w:t>
      </w:r>
    </w:p>
    <w:p w14:paraId="4AFF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教学仪器设备购置：预算20万元，用于采购实验仪器、教学用具、图书资料等教学设备，改善学校教学条件，满足课程教学与实践需求，助力提升课堂教学质量。</w:t>
      </w:r>
    </w:p>
    <w:p w14:paraId="6D408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职业教育及民办教育专项：预算15万元，支持职业院校实训基地建设、课程改革、师资培养，以及扶持民办教育规范发展，促进职业教育和民办教育提升办学水平与人才培养质量。</w:t>
      </w:r>
    </w:p>
    <w:p w14:paraId="1C824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教师培训费：预算180万元，用于组织教师参加各类专业培训、学术交流、教研活动等，涵盖学科教学能力提升、教育理念更新、信息技术应用等内容，全面提高教师专业素养和教学能力。</w:t>
      </w:r>
    </w:p>
    <w:p w14:paraId="09C71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8"/>
          <w:szCs w:val="28"/>
        </w:rPr>
        <w:t>乡镇中心学校经费：预算1.5万元，主要用于乡镇中心学校日常办公、校园环境维护等工作，保障乡镇学校教育教学工作的正常运转，推动乡镇教育事业稳定发展。</w:t>
      </w:r>
    </w:p>
    <w:p w14:paraId="7CA4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28"/>
          <w:szCs w:val="28"/>
        </w:rPr>
        <w:t>全区教师体检专项：预算6.48万元，用于组织全区教师进行健康体检，关注教师身心健康，营造良好的教师发展环境，增强教师队伍的凝聚力和稳定性。</w:t>
      </w:r>
    </w:p>
    <w:p w14:paraId="03CC5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二、预算执行情况</w:t>
      </w:r>
    </w:p>
    <w:p w14:paraId="0C457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截至2024年底，教育费附加专项经费实际支出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337.98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万元，预算执行率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28"/>
          <w:szCs w:val="28"/>
        </w:rPr>
        <w:t>%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，全年目标任务完成。</w:t>
      </w:r>
    </w:p>
    <w:p w14:paraId="1AE4C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三、绩效目标完成情况</w:t>
      </w:r>
    </w:p>
    <w:p w14:paraId="64E81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（一）产出指标</w:t>
      </w:r>
    </w:p>
    <w:p w14:paraId="1A922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数量指标</w:t>
      </w:r>
    </w:p>
    <w:p w14:paraId="76CB5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校车营运补助及管理：补贴校车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131</w:t>
      </w:r>
      <w:r>
        <w:rPr>
          <w:rFonts w:hint="eastAsia" w:ascii="仿宋_GB2312" w:hAnsi="仿宋_GB2312" w:eastAsia="仿宋_GB2312" w:cs="仿宋_GB2312"/>
          <w:sz w:val="28"/>
          <w:szCs w:val="28"/>
        </w:rPr>
        <w:t>辆，开展校车安全培训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场，培训相关人员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260</w:t>
      </w:r>
      <w:r>
        <w:rPr>
          <w:rFonts w:hint="eastAsia" w:ascii="仿宋_GB2312" w:hAnsi="仿宋_GB2312" w:eastAsia="仿宋_GB2312" w:cs="仿宋_GB2312"/>
          <w:sz w:val="28"/>
          <w:szCs w:val="28"/>
        </w:rPr>
        <w:t>人次，完成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全区所有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校车全面检修维护。</w:t>
      </w:r>
    </w:p>
    <w:p w14:paraId="27CBF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教学仪器设备购置：采购实验仪器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sz w:val="28"/>
          <w:szCs w:val="28"/>
        </w:rPr>
        <w:t>套、教学用具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28"/>
          <w:szCs w:val="28"/>
        </w:rPr>
        <w:t>件、图书资料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册，覆盖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8"/>
          <w:szCs w:val="28"/>
        </w:rPr>
        <w:t>所学校。</w:t>
      </w:r>
    </w:p>
    <w:p w14:paraId="4357B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职业教育及民办教育专项：支持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我区</w:t>
      </w:r>
      <w:r>
        <w:rPr>
          <w:rFonts w:hint="eastAsia" w:ascii="仿宋_GB2312" w:hAnsi="仿宋_GB2312" w:eastAsia="仿宋_GB2312" w:cs="仿宋_GB2312"/>
          <w:sz w:val="28"/>
          <w:szCs w:val="28"/>
        </w:rPr>
        <w:t>职业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高中</w:t>
      </w:r>
      <w:r>
        <w:rPr>
          <w:rFonts w:hint="eastAsia" w:ascii="仿宋_GB2312" w:hAnsi="仿宋_GB2312" w:eastAsia="仿宋_GB2312" w:cs="仿宋_GB2312"/>
          <w:sz w:val="28"/>
          <w:szCs w:val="28"/>
        </w:rPr>
        <w:t>开展实训项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个，组织民办学校教师培训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180</w:t>
      </w:r>
      <w:r>
        <w:rPr>
          <w:rFonts w:hint="eastAsia" w:ascii="仿宋_GB2312" w:hAnsi="仿宋_GB2312" w:eastAsia="仿宋_GB2312" w:cs="仿宋_GB2312"/>
          <w:sz w:val="28"/>
          <w:szCs w:val="28"/>
        </w:rPr>
        <w:t>人次，推动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所民办学校优化办学条件。</w:t>
      </w:r>
    </w:p>
    <w:p w14:paraId="3D58D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教师培训费：组织教师培训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场次，培训教师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1250</w:t>
      </w:r>
      <w:r>
        <w:rPr>
          <w:rFonts w:hint="eastAsia" w:ascii="仿宋_GB2312" w:hAnsi="仿宋_GB2312" w:eastAsia="仿宋_GB2312" w:cs="仿宋_GB2312"/>
          <w:sz w:val="28"/>
          <w:szCs w:val="28"/>
        </w:rPr>
        <w:t>人次，开展教研活动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次。</w:t>
      </w:r>
    </w:p>
    <w:p w14:paraId="4C981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乡镇中心学校经费：保障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全区所有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乡镇中心学校日常办公需求，完成校园环境维护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项。</w:t>
      </w:r>
    </w:p>
    <w:p w14:paraId="33DB8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全区教师体检专项：为全区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sz w:val="28"/>
          <w:szCs w:val="28"/>
        </w:rPr>
        <w:t>名教师提供健康体检服务。</w:t>
      </w:r>
    </w:p>
    <w:p w14:paraId="74A2E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质量指标</w:t>
      </w:r>
    </w:p>
    <w:p w14:paraId="166E8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校车营运补助及管理：校车安全事故发生率 0，车辆维护保养合格率 100%，驾驶员及管理人员培训考核通过率 98% 以上。</w:t>
      </w:r>
    </w:p>
    <w:p w14:paraId="76534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教学仪器设备购置：所购设备验收合格率100%，设备投入使用后，实验课程开出率提高至95% 以上。</w:t>
      </w:r>
    </w:p>
    <w:p w14:paraId="3F729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职业教育及民办教育专项：职业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28"/>
          <w:szCs w:val="28"/>
        </w:rPr>
        <w:t>实训基地建设达到行业标准，民办学校规范办学达标率提升至90%。</w:t>
      </w:r>
    </w:p>
    <w:p w14:paraId="6D38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教师培训费：培训后教师教学能力考核优秀率提高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28"/>
          <w:szCs w:val="28"/>
        </w:rPr>
        <w:t>%，教研成果转化率显著提升。</w:t>
      </w:r>
    </w:p>
    <w:p w14:paraId="4E8B5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乡镇中心学校经费：乡镇中心学校办公效率提高，校园环境整洁度达标率 100%。</w:t>
      </w:r>
    </w:p>
    <w:p w14:paraId="28CDA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全区教师体检专项：体检项目覆盖率100%，教师对体检服务满意度达 95% 以上。</w:t>
      </w:r>
    </w:p>
    <w:p w14:paraId="4E6E0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（二）效益指标</w:t>
      </w:r>
    </w:p>
    <w:p w14:paraId="48AEC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社会效益</w:t>
      </w:r>
    </w:p>
    <w:p w14:paraId="3C5EC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校车营运补助及管理有效保障了学生上下学交通安全，减轻了家长负担，家长满意度显著提升。</w:t>
      </w:r>
    </w:p>
    <w:p w14:paraId="00AF9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教学仪器设备购置改善了学校教学条件，激发了学生学习兴趣，促进了教学质量提升。</w:t>
      </w:r>
    </w:p>
    <w:p w14:paraId="16CA2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职业教育及民办教育专项推动了职业教育和民办教育发展，为社会培养了更多专业技能人才和多元化人才。</w:t>
      </w:r>
    </w:p>
    <w:p w14:paraId="12BC7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教师培训提升了教师队伍整体素质，促进了教育教学改革创新，提高了学校教育教学水平。</w:t>
      </w:r>
    </w:p>
    <w:p w14:paraId="39372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乡镇中心学校经费保障了乡镇学校正常运转，缩小了城乡教育差距，推动了区域教育均衡发展。</w:t>
      </w:r>
    </w:p>
    <w:p w14:paraId="46C85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教师体检专项体现了对教师的关怀，增强了教师职业归属感，有利于稳定教师队伍。</w:t>
      </w:r>
    </w:p>
    <w:p w14:paraId="445B8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可持续影响</w:t>
      </w:r>
    </w:p>
    <w:p w14:paraId="5028E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校车安全管理机制不断完善，形成长效安全运营模式。</w:t>
      </w:r>
    </w:p>
    <w:p w14:paraId="657FB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教学设备的更新为学校长期教学发展奠定基础，推动教学质量持续提升。</w:t>
      </w:r>
    </w:p>
    <w:p w14:paraId="2C66D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职业教育和民办教育专项扶持政策促进其持续健康发展，优化教育生态。</w:t>
      </w:r>
    </w:p>
    <w:p w14:paraId="162D7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教师培训形成常态化机制，助力教师专业成长，为教育事业长远发展提供人才支撑。</w:t>
      </w:r>
    </w:p>
    <w:p w14:paraId="30E2D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乡镇学校办学条件逐步改善，吸引更多优秀人才投身乡镇教育，促进乡镇教育可持续发展。</w:t>
      </w:r>
    </w:p>
    <w:p w14:paraId="602B1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关注教师健康成为常态，有助于提升教师工作积极性和效率，保障教育事业稳步前行。</w:t>
      </w:r>
    </w:p>
    <w:p w14:paraId="59DBD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（三）满意度指标</w:t>
      </w:r>
    </w:p>
    <w:p w14:paraId="36F65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通过问卷调查、访谈等方式，对相关受益群体进行满意度调查。结果显示，学生家长对校车服务满意度达92%；教师对教学仪器设备购置和教师培训满意度分别为90%、93%；职业院校和民办学校对专项扶持满意度达88%；乡镇学校教职工对学校经费保障满意度为9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%；教师对体检服务满意度达95% 。</w:t>
      </w:r>
    </w:p>
    <w:p w14:paraId="10DAD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四、存在的问题及原因分析</w:t>
      </w:r>
    </w:p>
    <w:p w14:paraId="6904B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（一）存在的问题</w:t>
      </w:r>
    </w:p>
    <w:p w14:paraId="17B44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资金使用进度不均衡：部分项目资金拨付滞后，导致项目前期推进缓慢，后期为完成任务集中支出，影响资金使用效益。如教学仪器设备购置因采购审批流程长，设备到位和安装时间推迟。</w:t>
      </w:r>
    </w:p>
    <w:p w14:paraId="6B928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绩效目标考核不够精准：部分专项绩效目标设定不够细化、量化，在实际考核中难以准确衡量项目成效，影响绩效评价的科学性和客观性。</w:t>
      </w:r>
    </w:p>
    <w:p w14:paraId="0256E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项目监管力度不足：对项目实施过程的监管不够严格，存在重资金分配、轻过程管理现象，未能及时发现和解决项目实施中出现的问题。例如，对校车运营的日常监管存在薄弱环节。</w:t>
      </w:r>
    </w:p>
    <w:p w14:paraId="46598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（二）原因分析</w:t>
      </w:r>
    </w:p>
    <w:p w14:paraId="29B69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资金管理机制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有待</w:t>
      </w:r>
      <w:r>
        <w:rPr>
          <w:rFonts w:hint="eastAsia" w:ascii="仿宋_GB2312" w:hAnsi="仿宋_GB2312" w:eastAsia="仿宋_GB2312" w:cs="仿宋_GB2312"/>
          <w:sz w:val="28"/>
          <w:szCs w:val="28"/>
        </w:rPr>
        <w:t>完善：资金拨付流程繁琐，涉及多个部门审批，信息沟通不畅，导致资金到位不及时。同时，缺乏资金使用动态调整机制，难以根据项目实际需求灵活调配资金。</w:t>
      </w:r>
    </w:p>
    <w:p w14:paraId="06C70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绩效目标设定经验欠缺：在绩效目标制定过程中，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对项目预期成果和关键指标把握不准确，缺乏科学规划和专业指导，导致绩效目标与实际工作脱节。</w:t>
      </w:r>
    </w:p>
    <w:p w14:paraId="3F0CA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监管责任落实不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够</w:t>
      </w:r>
      <w:r>
        <w:rPr>
          <w:rFonts w:hint="eastAsia" w:ascii="仿宋_GB2312" w:hAnsi="仿宋_GB2312" w:eastAsia="仿宋_GB2312" w:cs="仿宋_GB2312"/>
          <w:sz w:val="28"/>
          <w:szCs w:val="28"/>
        </w:rPr>
        <w:t>到位：相关部门对项目监管职责划分不明确，缺乏常态化监管机制和有效的监督手段，对项目实施过程中的问题未能及时发现和处理。</w:t>
      </w:r>
    </w:p>
    <w:p w14:paraId="28711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部门协同意识薄弱：教育部门内部各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股</w:t>
      </w:r>
      <w:r>
        <w:rPr>
          <w:rFonts w:hint="eastAsia" w:ascii="仿宋_GB2312" w:hAnsi="仿宋_GB2312" w:eastAsia="仿宋_GB2312" w:cs="仿宋_GB2312"/>
          <w:sz w:val="28"/>
          <w:szCs w:val="28"/>
        </w:rPr>
        <w:t>室之间沟通协调不足，缺乏整体规划和统筹安排，在资源配置上各自为政，未形成工作合力。</w:t>
      </w:r>
    </w:p>
    <w:p w14:paraId="7904D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五、下一步改进措施</w:t>
      </w:r>
    </w:p>
    <w:p w14:paraId="6EAD2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（一）优化资金管理流程</w:t>
      </w:r>
    </w:p>
    <w:p w14:paraId="099D4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简化资金拨付审批程序，建立部门间信息共享和协同审批机制，缩短审批时间，确保资金及时到位。加强资金使用动态监控，根据项目进度和实际需求灵活调整资金分配，提高资金使用效率。</w:t>
      </w:r>
    </w:p>
    <w:p w14:paraId="1CA33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（二）完善绩效目标体系</w:t>
      </w:r>
    </w:p>
    <w:p w14:paraId="51F71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邀请专业人员对绩效目标设定进行指导，结合项目实际，制定更加具体、可量化的绩效指标。建立绩效目标动态调整机制，在项目实施过程中，根据实际情况及时优化目标，确保绩效评价的科学性和准确性。</w:t>
      </w:r>
    </w:p>
    <w:p w14:paraId="522C8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（三）强化项目监管力度</w:t>
      </w:r>
    </w:p>
    <w:p w14:paraId="260EC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明确各部门监管职责，建立健全项目全过程监管机制，加强对项目实施进度、资金使用、质量效益等方面的监督检查。定期开展项目专项督查，及时发现和解决问题，确保项目规范实施。</w:t>
      </w:r>
    </w:p>
    <w:p w14:paraId="0799A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（四）加强部门协同合作</w:t>
      </w:r>
    </w:p>
    <w:p w14:paraId="0460B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建立教育费附加专项工作协调机制，定期召开部门联席会议，加强信息交流和沟通协作。统筹规划各专项工作，优化资源配置，避免重复建设和资源浪费，提高资金整体使用效益。</w:t>
      </w:r>
    </w:p>
    <w:p w14:paraId="1B437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5B1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3BF5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F923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330200</wp:posOffset>
            </wp:positionV>
            <wp:extent cx="1630680" cy="1588135"/>
            <wp:effectExtent l="0" t="0" r="7620" b="12065"/>
            <wp:wrapNone/>
            <wp:docPr id="2" name="图片 2" descr="教育局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教育局公章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669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C6C9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95A2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880" w:firstLineChars="21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2025年5月7日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1FAD2A45"/>
    <w:rsid w:val="29BD660E"/>
    <w:rsid w:val="51872232"/>
    <w:rsid w:val="7AA410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2715</Words>
  <Characters>2811</Characters>
  <TotalTime>0</TotalTime>
  <ScaleCrop>false</ScaleCrop>
  <LinksUpToDate>false</LinksUpToDate>
  <CharactersWithSpaces>2825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2025-04-29T06:45:00Z</dcterms:created>
  <dc:creator>Un-named</dc:creator>
  <cp:lastModifiedBy>蔡智明</cp:lastModifiedBy>
  <dcterms:modified xsi:type="dcterms:W3CDTF">2025-05-08T01:25:02Z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eyJoZGlkIjoiYjgzNDA0MmFiMzUxYzJmZjM0YjZlMjUwMjcxYzRmYjQiLCJ1c2VySWQiOiIxNjY1NjgyNzU2In0=</vt:lpwstr>
  </property>
  <property fmtid="{D5CDD505-2E9C-101B-9397-08002B2CF9AE}" pid="3" name="KSOProductBuildVer">
    <vt:lpwstr>2052-12.1.0.19302</vt:lpwstr>
  </property>
  <property fmtid="{D5CDD505-2E9C-101B-9397-08002B2CF9AE}" pid="4" name="ICV">
    <vt:lpwstr>EF85CF364E524F228D1236F132CE8ABF_12</vt:lpwstr>
  </property>
</Properties>
</file>