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B8" w:rsidRDefault="00906458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BA06B8" w:rsidRDefault="00BA06B8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:rsidR="00BA06B8" w:rsidRDefault="0090645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563463"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社会保险服务中心整体支出绩效自评报告</w:t>
      </w:r>
    </w:p>
    <w:p w:rsidR="00BA06B8" w:rsidRDefault="00BA06B8">
      <w:pPr>
        <w:jc w:val="center"/>
        <w:rPr>
          <w:rFonts w:ascii="Times New Roman" w:eastAsia="方正小标宋_GBK" w:hAnsi="Times New Roman"/>
          <w:b/>
          <w:sz w:val="52"/>
          <w:szCs w:val="52"/>
        </w:rPr>
      </w:pPr>
    </w:p>
    <w:p w:rsidR="00BA06B8" w:rsidRDefault="00BA06B8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BA06B8" w:rsidRDefault="00BA06B8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BA06B8" w:rsidRDefault="00BA06B8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BA06B8" w:rsidRDefault="00BA06B8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BA06B8" w:rsidRDefault="00BA06B8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BA06B8" w:rsidRDefault="00BA06B8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BA06B8" w:rsidRDefault="00BA06B8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BA06B8" w:rsidRDefault="00BA06B8">
      <w:pPr>
        <w:rPr>
          <w:rFonts w:ascii="Times New Roman" w:eastAsia="黑体" w:hAnsi="Times New Roman"/>
          <w:sz w:val="32"/>
          <w:szCs w:val="32"/>
        </w:rPr>
      </w:pPr>
    </w:p>
    <w:p w:rsidR="00BA06B8" w:rsidRDefault="00BA06B8">
      <w:pPr>
        <w:rPr>
          <w:rFonts w:ascii="Times New Roman" w:eastAsia="黑体" w:hAnsi="Times New Roman"/>
          <w:sz w:val="32"/>
          <w:szCs w:val="32"/>
        </w:rPr>
      </w:pPr>
    </w:p>
    <w:p w:rsidR="00BA06B8" w:rsidRDefault="00BA06B8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BA06B8" w:rsidRDefault="00BA06B8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BA06B8" w:rsidRDefault="00BA06B8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BA06B8" w:rsidRDefault="00906458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部门（单位）名称：</w:t>
      </w:r>
      <w:r>
        <w:rPr>
          <w:rFonts w:ascii="Times New Roman" w:eastAsia="仿宋_GB2312" w:hAnsi="Times New Roman"/>
          <w:sz w:val="32"/>
          <w:szCs w:val="32"/>
          <w:u w:val="single"/>
        </w:rPr>
        <w:t>（盖章）</w:t>
      </w:r>
    </w:p>
    <w:p w:rsidR="00BA06B8" w:rsidRDefault="00906458">
      <w:pPr>
        <w:spacing w:line="6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202</w:t>
      </w:r>
      <w:r w:rsidR="00563463">
        <w:rPr>
          <w:rFonts w:ascii="Times New Roman" w:eastAsia="楷体_GB2312" w:hAnsi="Times New Roman" w:hint="eastAsia"/>
          <w:sz w:val="32"/>
          <w:szCs w:val="32"/>
        </w:rPr>
        <w:t>4</w:t>
      </w:r>
      <w:r>
        <w:rPr>
          <w:rFonts w:ascii="Times New Roman" w:eastAsia="楷体_GB2312" w:hAnsi="Times New Roman"/>
          <w:sz w:val="32"/>
          <w:szCs w:val="32"/>
        </w:rPr>
        <w:t>年</w:t>
      </w:r>
      <w:r>
        <w:rPr>
          <w:rFonts w:ascii="Times New Roman" w:eastAsia="楷体_GB2312" w:hAnsi="Times New Roman" w:hint="eastAsia"/>
          <w:sz w:val="32"/>
          <w:szCs w:val="32"/>
        </w:rPr>
        <w:t>6</w:t>
      </w:r>
      <w:r>
        <w:rPr>
          <w:rFonts w:ascii="Times New Roman" w:eastAsia="楷体_GB2312" w:hAnsi="Times New Roman"/>
          <w:sz w:val="32"/>
          <w:szCs w:val="32"/>
        </w:rPr>
        <w:t>月</w:t>
      </w:r>
      <w:r>
        <w:rPr>
          <w:rFonts w:ascii="Times New Roman" w:eastAsia="楷体_GB2312" w:hAnsi="Times New Roman" w:hint="eastAsia"/>
          <w:sz w:val="32"/>
          <w:szCs w:val="32"/>
        </w:rPr>
        <w:t>25</w:t>
      </w:r>
      <w:r>
        <w:rPr>
          <w:rFonts w:ascii="Times New Roman" w:eastAsia="楷体_GB2312" w:hAnsi="Times New Roman"/>
          <w:sz w:val="32"/>
          <w:szCs w:val="32"/>
        </w:rPr>
        <w:t>日</w:t>
      </w:r>
    </w:p>
    <w:p w:rsidR="00BA06B8" w:rsidRDefault="00906458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（此页为封面）</w:t>
      </w:r>
    </w:p>
    <w:p w:rsidR="00BA06B8" w:rsidRDefault="0090645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 w:rsidR="00563463"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社会保险服务中心整体支出绩效自评报告</w:t>
      </w:r>
    </w:p>
    <w:p w:rsidR="00BA06B8" w:rsidRDefault="00BA06B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BA06B8" w:rsidRDefault="00906458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部门（单位）基本情况</w:t>
      </w:r>
    </w:p>
    <w:p w:rsidR="00BA06B8" w:rsidRDefault="00906458">
      <w:pPr>
        <w:spacing w:line="570" w:lineRule="atLeas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1.负责宣传、贯彻社会养老保险法律、法规和政策。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2.负责养老保险基金的筹集、支付和管理工作。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3.负责参保单位和人员的登记、权益记录、关系转移接续和待遇核定工作。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4.负责确保离退休人员养老金及其它养老保险待遇按时足额发放。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5.负责养老保险基金风险防控工作，确保基金安全。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6.负责指导乡镇（办）养老保险经办服务工作。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7.负责政策咨询和群众来信来访工作。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8.完成区委、区政府和区人力资源社会保障局交给的其他任务。</w:t>
      </w:r>
    </w:p>
    <w:p w:rsidR="00BA06B8" w:rsidRDefault="00906458">
      <w:pPr>
        <w:spacing w:line="570" w:lineRule="atLeast"/>
        <w:ind w:firstLineChars="200" w:firstLine="643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办公室。负责单位日常事务管理、协调工作；负责文件收发、政策精神的上传下达工作；负责统计报表的编制、报送工作；负责信息系统日常维护和升级管理；负责设置系统操作人员的权限；负责单位会务、学习、接待、活动组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等工作；负责单位办公用品采购、安全生产和爱国卫生等后勤保障工作；负责单位办公设备添置、更换以及网络、通信维护等工作；负责单位档案管理、印鉴管理工作。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财务股。负责养老保险基金的会计核算及预决算工作，编制基金会计报表；负责基金对账，实行财政和社保对基金的共同监督，确保基金安全；负责按时足额拨付离退休人员养老金，维护社会稳定；负责异动人员养老保险基金的转入、转出工作，并接受异动人员对基金转移情况的咨询和查询；负责单位工作经费的核算工作，确保工作正常运转；负责协调与财政，银行等部门的工作，落实收支两条线规定，确保基金在各环节安全有序，快速流转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企业养老保险业务股。负责贯彻执行养老保险政策；负责所有新增参保企业和个人的申请、登记、录入工作；负责跨省转移人员的接收和录入工作；负责参保企业和个人网上经办的申请、登记工作；负责参保企业的变更和注销工作。负责办理企业职工基本养老保险个人账户的建立、转移、支付手续；负责参保企业职工的档案及有关材料的审核，确定参保人员的基本信息准确无误；负责企业参保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员信息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修改工作；负责企业养老保险年度缴费工资基数的审核、录入工作；负责在职职工个人重复缴费的退费工作；负责参保职工个人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帐户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年度计息工作；负责个体工商户、灵活就业人员委托银行代扣代缴基本养老保险费工作；负责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个缴人员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年度缴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费基数的确定、调整和缴费工作；负责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个缴人员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网上缴费工作；负责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个缴人员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养老关系转移接续工作。负责养老保险费征缴票据的管理工作。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4.退休审核股。负责退休政策的宣传和咨询解释工作；负责符合退休条件的参保人员的档案审核、信息修改和退休待遇核定工作；负责退休人员的待遇调整、变更工作；负责代发项目的录入、调整和审核工作。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5.退休管理股。负责企业离退休人员基本养老金的确认及发放工作；负责离退休人员领取养老金资格认证工作，防止虚报冒领。</w:t>
      </w:r>
    </w:p>
    <w:p w:rsidR="00BA06B8" w:rsidRDefault="00906458">
      <w:pPr>
        <w:spacing w:line="570" w:lineRule="atLeas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6.城乡居民养老保险股。负责贯彻城乡居民社会养老保险政策；负责配合上级主管部门开展城乡居民社会养老保险有关工作的调研；负责全区城乡居民养老保险统计报表上报工作；负责督促指导乡镇（办）开展城乡居民社会养老保险工作。</w:t>
      </w:r>
    </w:p>
    <w:p w:rsidR="00BA06B8" w:rsidRDefault="00906458">
      <w:pPr>
        <w:spacing w:line="570" w:lineRule="atLeas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7.机关事业养老保险股。负责机关事业单位养老保险业务经办工作；负责机关事业退休人员基本养老金的确认及发放工作；负责机关事业养老保险政策的宣传和咨询解释工作；负责机关事业单位职业年金的经办工作。 </w:t>
      </w:r>
    </w:p>
    <w:p w:rsidR="00BA06B8" w:rsidRDefault="00906458">
      <w:pPr>
        <w:pStyle w:val="a7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BA06B8" w:rsidRDefault="00906458">
      <w:pPr>
        <w:pStyle w:val="a7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BA06B8" w:rsidRDefault="00906458">
      <w:pPr>
        <w:pStyle w:val="a6"/>
        <w:widowControl/>
        <w:shd w:val="clear" w:color="auto" w:fill="FFFFFF"/>
        <w:spacing w:beforeAutospacing="0" w:afterAutospacing="0" w:line="576" w:lineRule="atLeast"/>
        <w:ind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202</w:t>
      </w:r>
      <w:r w:rsidR="00563463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年，单位基本支出决算数为</w:t>
      </w:r>
      <w:r w:rsidR="00250F5A" w:rsidRPr="00250F5A">
        <w:rPr>
          <w:rFonts w:ascii="Times New Roman" w:eastAsia="仿宋_GB2312" w:hAnsi="Times New Roman"/>
          <w:color w:val="000000"/>
          <w:sz w:val="32"/>
          <w:szCs w:val="32"/>
        </w:rPr>
        <w:t>490.95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万元，占本年支出的</w:t>
      </w:r>
      <w:r w:rsidR="00250F5A">
        <w:rPr>
          <w:rFonts w:ascii="Times New Roman" w:eastAsia="仿宋_GB2312" w:hAnsi="Times New Roman" w:hint="eastAsia"/>
          <w:color w:val="000000"/>
          <w:sz w:val="32"/>
          <w:szCs w:val="32"/>
        </w:rPr>
        <w:t>28.69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。主要用于单位在职人员基本工资、津贴补贴等。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年，单位“三公”经费支出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0.13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万元，按具体项目分，因公出国（境）支出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万元，公务用车购置及运行维护费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万元（其中公务用车运行维护费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万元），公务接待费支出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0.13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万元。</w:t>
      </w:r>
    </w:p>
    <w:p w:rsidR="00BA06B8" w:rsidRDefault="00906458">
      <w:pPr>
        <w:pStyle w:val="a7"/>
        <w:widowControl/>
        <w:numPr>
          <w:ilvl w:val="0"/>
          <w:numId w:val="2"/>
        </w:numPr>
        <w:spacing w:line="640" w:lineRule="exact"/>
        <w:ind w:firstLineChars="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项目支出情况</w:t>
      </w:r>
    </w:p>
    <w:p w:rsidR="00BA06B8" w:rsidRDefault="00906458">
      <w:pPr>
        <w:pStyle w:val="a7"/>
        <w:widowControl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年，本单位项目支出决算数为</w:t>
      </w:r>
      <w:r w:rsidR="00250F5A" w:rsidRPr="00250F5A">
        <w:rPr>
          <w:rFonts w:ascii="Times New Roman" w:eastAsia="仿宋_GB2312" w:hAnsi="Times New Roman"/>
          <w:color w:val="000000"/>
          <w:sz w:val="32"/>
          <w:szCs w:val="32"/>
        </w:rPr>
        <w:t>1220.00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万元，占本年支出的</w:t>
      </w:r>
      <w:r w:rsidR="00250F5A">
        <w:rPr>
          <w:rFonts w:ascii="Times New Roman" w:eastAsia="仿宋_GB2312" w:hAnsi="Times New Roman" w:hint="eastAsia"/>
          <w:color w:val="000000"/>
          <w:sz w:val="32"/>
          <w:szCs w:val="32"/>
        </w:rPr>
        <w:t>71.31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。单位项目资金严格按照政策文件开支，厉行节约、量入为出，完善了重大事项集体决策制度，保证项目资金的合理使用。</w:t>
      </w:r>
    </w:p>
    <w:p w:rsidR="00BA06B8" w:rsidRDefault="00906458">
      <w:pPr>
        <w:pStyle w:val="a7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</w:p>
    <w:p w:rsidR="00BA06B8" w:rsidRDefault="00906458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年我单位无政府性基金预算支出。</w:t>
      </w:r>
    </w:p>
    <w:p w:rsidR="00BA06B8" w:rsidRDefault="00906458">
      <w:pPr>
        <w:pStyle w:val="a7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BA06B8" w:rsidRDefault="00906458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年我单位无国有资本经营预算支出。</w:t>
      </w:r>
    </w:p>
    <w:p w:rsidR="00BA06B8" w:rsidRDefault="00906458">
      <w:pPr>
        <w:pStyle w:val="a7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BA06B8" w:rsidRDefault="00906458" w:rsidP="00906458">
      <w:pPr>
        <w:pStyle w:val="a7"/>
        <w:widowControl/>
        <w:spacing w:line="64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年我单位无社会保险基金预算支出。</w:t>
      </w:r>
    </w:p>
    <w:p w:rsidR="00BA06B8" w:rsidRDefault="00906458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六、部门整体支出绩效情况</w:t>
      </w:r>
    </w:p>
    <w:p w:rsidR="00BA06B8" w:rsidRDefault="00906458">
      <w:pPr>
        <w:pStyle w:val="a6"/>
        <w:widowControl/>
        <w:shd w:val="clear" w:color="auto" w:fill="FFFFFF"/>
        <w:spacing w:beforeAutospacing="0" w:afterAutospacing="0" w:line="56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一）绩效评价目的</w:t>
      </w:r>
    </w:p>
    <w:p w:rsidR="00BA06B8" w:rsidRDefault="00906458">
      <w:pPr>
        <w:pStyle w:val="a6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eastAsia="仿宋" w:cs="仿宋"/>
          <w:color w:val="000000"/>
          <w:sz w:val="32"/>
          <w:szCs w:val="32"/>
          <w:shd w:val="clear" w:color="auto" w:fill="FFFFFF"/>
        </w:rPr>
        <w:t>此次绩效评价的目的是：严格落实《预算法》及省、市</w:t>
      </w:r>
      <w:r>
        <w:rPr>
          <w:rFonts w:eastAsia="仿宋" w:cs="仿宋" w:hint="eastAsia"/>
          <w:color w:val="000000"/>
          <w:sz w:val="32"/>
          <w:szCs w:val="32"/>
          <w:shd w:val="clear" w:color="auto" w:fill="FFFFFF"/>
        </w:rPr>
        <w:t>、区</w:t>
      </w:r>
      <w:r>
        <w:rPr>
          <w:rFonts w:eastAsia="仿宋" w:cs="仿宋"/>
          <w:color w:val="000000"/>
          <w:sz w:val="32"/>
          <w:szCs w:val="32"/>
          <w:shd w:val="clear" w:color="auto" w:fill="FFFFFF"/>
        </w:rPr>
        <w:t>绩效管理工作的有关规定，进一步规范财政资金的管理，</w:t>
      </w:r>
      <w:r>
        <w:rPr>
          <w:rFonts w:eastAsia="仿宋" w:cs="仿宋"/>
          <w:color w:val="000000"/>
          <w:sz w:val="32"/>
          <w:szCs w:val="32"/>
          <w:shd w:val="clear" w:color="auto" w:fill="FFFFFF"/>
        </w:rPr>
        <w:lastRenderedPageBreak/>
        <w:t>强化财政支出绩效理念，提升部门责任意识，提高资金使用效益。</w:t>
      </w:r>
    </w:p>
    <w:p w:rsidR="00BA06B8" w:rsidRDefault="00906458">
      <w:pPr>
        <w:pStyle w:val="a6"/>
        <w:widowControl/>
        <w:shd w:val="clear" w:color="auto" w:fill="FFFFFF"/>
        <w:spacing w:beforeAutospacing="0" w:afterAutospacing="0" w:line="56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（二）绩效评价的主要过程</w:t>
      </w:r>
    </w:p>
    <w:p w:rsidR="00BA06B8" w:rsidRDefault="00906458">
      <w:pPr>
        <w:pStyle w:val="a6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eastAsia="仿宋" w:cs="仿宋" w:hint="eastAsia"/>
          <w:color w:val="000000"/>
          <w:sz w:val="32"/>
          <w:szCs w:val="32"/>
          <w:shd w:val="clear" w:color="auto" w:fill="FFFFFF"/>
        </w:rPr>
        <w:t>根据绩效评价的要求，我们成立了自评工作领导小组，对照自评方案进行研究和部署，各股室全程参与，按照自评方案的要求，对照各实施项目的内容逐条逐项自评。在自评过程发现问题，查找原因，及时纠正偏差，为下一步工作夯实基础。通过开展部门整体支出绩效评价，全面了解、分析部门预算，执行并公开、“三公”经费管理、相关政策制度执行、资产管理及部门工作绩效等情况，进一步规范资金管理围绕绩效目标开展工作，加强财务管理，强化支出责任，提高财政资金使用绩效。</w:t>
      </w:r>
    </w:p>
    <w:p w:rsidR="00BA06B8" w:rsidRDefault="00906458">
      <w:pPr>
        <w:pStyle w:val="a7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BA06B8" w:rsidRDefault="00906458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eastAsia="仿宋" w:cs="仿宋"/>
          <w:color w:val="000000"/>
          <w:sz w:val="32"/>
          <w:szCs w:val="32"/>
          <w:shd w:val="clear" w:color="auto" w:fill="FFFFFF"/>
        </w:rPr>
        <w:t>预算绩效管理工作有待加强。虽然单位开展了预算绩效管理工作，但仍存在一些不足：一是绩效目标设立不够细化、量化；二是部门整体支出绩效自评工</w:t>
      </w:r>
      <w:proofErr w:type="gramStart"/>
      <w:r>
        <w:rPr>
          <w:rFonts w:eastAsia="仿宋" w:cs="仿宋"/>
          <w:color w:val="000000"/>
          <w:sz w:val="32"/>
          <w:szCs w:val="32"/>
          <w:shd w:val="clear" w:color="auto" w:fill="FFFFFF"/>
        </w:rPr>
        <w:t>作不够</w:t>
      </w:r>
      <w:proofErr w:type="gramEnd"/>
      <w:r>
        <w:rPr>
          <w:rFonts w:eastAsia="仿宋" w:cs="仿宋"/>
          <w:color w:val="000000"/>
          <w:sz w:val="32"/>
          <w:szCs w:val="32"/>
          <w:shd w:val="clear" w:color="auto" w:fill="FFFFFF"/>
        </w:rPr>
        <w:t>全面，绩效自评报告质量有待进一步提升。</w:t>
      </w:r>
    </w:p>
    <w:p w:rsidR="00BA06B8" w:rsidRDefault="00906458">
      <w:pPr>
        <w:widowControl/>
        <w:numPr>
          <w:ilvl w:val="0"/>
          <w:numId w:val="4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下一步改进措施</w:t>
      </w:r>
    </w:p>
    <w:p w:rsidR="00BA06B8" w:rsidRDefault="00906458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eastAsia="仿宋" w:cs="仿宋"/>
          <w:color w:val="000000"/>
          <w:sz w:val="32"/>
          <w:szCs w:val="32"/>
          <w:shd w:val="clear" w:color="auto" w:fill="FFFFFF"/>
        </w:rPr>
        <w:t>一是规范绩效目标编制，科学选定绩效指标，合理确定指标标准；二是切实开展绩效评价自评工作，在充分调研和分析的基础上对资金的运用、制度的落实加以评判、分析、研究，通过对资金项目的跟踪与论证，客观的发现项目中存</w:t>
      </w:r>
      <w:r>
        <w:rPr>
          <w:rFonts w:eastAsia="仿宋" w:cs="仿宋"/>
          <w:color w:val="000000"/>
          <w:sz w:val="32"/>
          <w:szCs w:val="32"/>
          <w:shd w:val="clear" w:color="auto" w:fill="FFFFFF"/>
        </w:rPr>
        <w:lastRenderedPageBreak/>
        <w:t>在的问题，并采取有效的措施和方法进行提升和优化，进一步的发挥绩效的作用。</w:t>
      </w:r>
    </w:p>
    <w:p w:rsidR="00BA06B8" w:rsidRDefault="00906458">
      <w:pPr>
        <w:widowControl/>
        <w:numPr>
          <w:ilvl w:val="0"/>
          <w:numId w:val="4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部门整体支出绩效自评结果拟应用和公开情况</w:t>
      </w:r>
    </w:p>
    <w:p w:rsidR="00BA06B8" w:rsidRDefault="00906458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将自评结果作为下年预算编制及执行的重要参考，绩效自评报告依规定公开，接受社会监督。</w:t>
      </w:r>
    </w:p>
    <w:p w:rsidR="00BA06B8" w:rsidRDefault="00906458">
      <w:pPr>
        <w:widowControl/>
        <w:numPr>
          <w:ilvl w:val="0"/>
          <w:numId w:val="4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BA06B8" w:rsidRDefault="00906458" w:rsidP="00906458">
      <w:pPr>
        <w:widowControl/>
        <w:spacing w:line="640" w:lineRule="exact"/>
        <w:ind w:leftChars="200" w:left="56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  <w:t>暂无其他需要说明的情况。</w:t>
      </w:r>
    </w:p>
    <w:p w:rsidR="00BA06B8" w:rsidRDefault="00BA06B8" w:rsidP="00906458">
      <w:pPr>
        <w:widowControl/>
        <w:spacing w:line="640" w:lineRule="exact"/>
        <w:ind w:leftChars="200" w:left="560"/>
        <w:rPr>
          <w:rFonts w:ascii="Times New Roman" w:eastAsia="黑体" w:hAnsi="Times New Roman"/>
          <w:sz w:val="32"/>
          <w:szCs w:val="32"/>
        </w:rPr>
      </w:pPr>
    </w:p>
    <w:p w:rsidR="00BA06B8" w:rsidRDefault="00BA06B8" w:rsidP="00906458">
      <w:pPr>
        <w:widowControl/>
        <w:spacing w:line="640" w:lineRule="exact"/>
        <w:ind w:leftChars="200" w:left="560"/>
        <w:rPr>
          <w:rFonts w:ascii="Times New Roman" w:eastAsia="黑体" w:hAnsi="Times New Roman"/>
          <w:sz w:val="32"/>
          <w:szCs w:val="32"/>
        </w:rPr>
      </w:pPr>
    </w:p>
    <w:p w:rsidR="00BA06B8" w:rsidRDefault="00BA06B8" w:rsidP="00906458">
      <w:pPr>
        <w:widowControl/>
        <w:spacing w:line="640" w:lineRule="exact"/>
        <w:ind w:leftChars="200" w:left="560"/>
        <w:rPr>
          <w:rFonts w:ascii="Times New Roman" w:eastAsia="黑体" w:hAnsi="Times New Roman"/>
          <w:sz w:val="32"/>
          <w:szCs w:val="32"/>
        </w:rPr>
      </w:pPr>
    </w:p>
    <w:p w:rsidR="00BA06B8" w:rsidRDefault="00250F5A" w:rsidP="00250F5A">
      <w:pPr>
        <w:widowControl/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sectPr w:rsidR="00BA06B8" w:rsidSect="00BA0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463" w:rsidRDefault="00563463" w:rsidP="00906458">
      <w:r>
        <w:separator/>
      </w:r>
    </w:p>
  </w:endnote>
  <w:endnote w:type="continuationSeparator" w:id="1">
    <w:p w:rsidR="00563463" w:rsidRDefault="00563463" w:rsidP="00906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463" w:rsidRDefault="00563463" w:rsidP="00906458">
      <w:r>
        <w:separator/>
      </w:r>
    </w:p>
  </w:footnote>
  <w:footnote w:type="continuationSeparator" w:id="1">
    <w:p w:rsidR="00563463" w:rsidRDefault="00563463" w:rsidP="00906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61DD88"/>
    <w:multiLevelType w:val="singleLevel"/>
    <w:tmpl w:val="FF61DD88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5AA513"/>
    <w:multiLevelType w:val="singleLevel"/>
    <w:tmpl w:val="0F5AA5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CA0029"/>
    <w:multiLevelType w:val="multilevel"/>
    <w:tmpl w:val="3ECA0029"/>
    <w:lvl w:ilvl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abstractNum w:abstractNumId="4">
    <w:nsid w:val="6FFF579E"/>
    <w:multiLevelType w:val="singleLevel"/>
    <w:tmpl w:val="6FFF579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wZWI0YjJlZWU1ZWNlMGQwN2UxMzBiZDEzZjlmYWUifQ=="/>
  </w:docVars>
  <w:rsids>
    <w:rsidRoot w:val="59886344"/>
    <w:rsid w:val="DFEF884A"/>
    <w:rsid w:val="00250F5A"/>
    <w:rsid w:val="00563463"/>
    <w:rsid w:val="00906458"/>
    <w:rsid w:val="00BA06B8"/>
    <w:rsid w:val="01F2744F"/>
    <w:rsid w:val="12492C39"/>
    <w:rsid w:val="16F5780C"/>
    <w:rsid w:val="2A9019B4"/>
    <w:rsid w:val="2DCC7D6D"/>
    <w:rsid w:val="35D547EC"/>
    <w:rsid w:val="4B0F2185"/>
    <w:rsid w:val="52031DC7"/>
    <w:rsid w:val="59886344"/>
    <w:rsid w:val="5C995A60"/>
    <w:rsid w:val="6971FB6F"/>
    <w:rsid w:val="74CA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A06B8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A06B8"/>
    <w:pPr>
      <w:ind w:firstLine="420"/>
    </w:pPr>
    <w:rPr>
      <w:szCs w:val="20"/>
    </w:rPr>
  </w:style>
  <w:style w:type="paragraph" w:styleId="a4">
    <w:name w:val="annotation text"/>
    <w:basedOn w:val="a"/>
    <w:qFormat/>
    <w:rsid w:val="00BA06B8"/>
    <w:pPr>
      <w:jc w:val="left"/>
    </w:pPr>
  </w:style>
  <w:style w:type="paragraph" w:styleId="a5">
    <w:name w:val="Body Text"/>
    <w:basedOn w:val="a"/>
    <w:semiHidden/>
    <w:qFormat/>
    <w:rsid w:val="00BA06B8"/>
    <w:rPr>
      <w:rFonts w:eastAsia="仿宋" w:cs="仿宋"/>
      <w:sz w:val="31"/>
      <w:szCs w:val="31"/>
      <w:lang w:eastAsia="en-US"/>
    </w:rPr>
  </w:style>
  <w:style w:type="paragraph" w:styleId="a6">
    <w:name w:val="Normal (Web)"/>
    <w:basedOn w:val="a"/>
    <w:qFormat/>
    <w:rsid w:val="00BA06B8"/>
    <w:pPr>
      <w:spacing w:beforeAutospacing="1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rsid w:val="00BA06B8"/>
    <w:pPr>
      <w:ind w:firstLineChars="200" w:firstLine="420"/>
    </w:pPr>
  </w:style>
  <w:style w:type="paragraph" w:styleId="a7">
    <w:name w:val="List Paragraph"/>
    <w:basedOn w:val="a"/>
    <w:uiPriority w:val="99"/>
    <w:qFormat/>
    <w:rsid w:val="00BA06B8"/>
    <w:pPr>
      <w:ind w:firstLineChars="200" w:firstLine="420"/>
    </w:pPr>
    <w:rPr>
      <w:rFonts w:ascii="Calibri" w:hAnsi="Calibri"/>
      <w:szCs w:val="22"/>
    </w:rPr>
  </w:style>
  <w:style w:type="paragraph" w:styleId="a8">
    <w:name w:val="header"/>
    <w:basedOn w:val="a"/>
    <w:link w:val="Char"/>
    <w:rsid w:val="00906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906458"/>
    <w:rPr>
      <w:rFonts w:ascii="仿宋" w:eastAsia="宋体" w:hAnsi="仿宋" w:cs="Times New Roman"/>
      <w:sz w:val="18"/>
      <w:szCs w:val="18"/>
    </w:rPr>
  </w:style>
  <w:style w:type="paragraph" w:styleId="a9">
    <w:name w:val="footer"/>
    <w:basedOn w:val="a"/>
    <w:link w:val="Char0"/>
    <w:rsid w:val="00906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rsid w:val="00906458"/>
    <w:rPr>
      <w:rFonts w:ascii="仿宋" w:eastAsia="宋体" w:hAnsi="仿宋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2360</Words>
  <Characters>139</Characters>
  <Application>Microsoft Office Word</Application>
  <DocSecurity>0</DocSecurity>
  <Lines>1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jsczysdw059</cp:lastModifiedBy>
  <cp:revision>2</cp:revision>
  <cp:lastPrinted>2024-06-27T16:06:00Z</cp:lastPrinted>
  <dcterms:created xsi:type="dcterms:W3CDTF">2024-03-18T16:36:00Z</dcterms:created>
  <dcterms:modified xsi:type="dcterms:W3CDTF">2025-05-15T07:43:00Z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66A27674FAA4C157BB237D664F6D3E8E_43</vt:lpwstr>
  </property>
</Properties>
</file>