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31" w:rsidRDefault="003E79B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2D0C31" w:rsidRDefault="003E79B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年度部门整体支出绩效评价基础数据表 </w:t>
      </w:r>
    </w:p>
    <w:p w:rsidR="002D0C31" w:rsidRDefault="003E79B2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2D0C31" w:rsidRDefault="003E79B2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2D0C31" w:rsidRDefault="003E79B2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年度市直预算部门整体支出绩效自评报告 （统一参考格式）   </w:t>
      </w:r>
    </w:p>
    <w:p w:rsidR="002D0C31" w:rsidRDefault="003E79B2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D0C31" w:rsidRDefault="003E79B2" w:rsidP="00201957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2D0C31" w:rsidRDefault="003E79B2" w:rsidP="00201957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2D0C31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2D0C31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9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155.56%　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3.16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16.34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0E17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16.34</w:t>
            </w:r>
            <w:r w:rsidR="003E79B2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3.16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16.34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0E17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16.34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2D0C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2D0C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2D0C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2D0C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2D0C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2D0C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22.81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10.8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10.05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22.715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10.8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7.93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0.095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2.12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22.5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0.99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2D0C31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</w:tbl>
    <w:p w:rsidR="002D0C31" w:rsidRDefault="003E79B2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2D0C31" w:rsidRDefault="002D0C31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2D0C31" w:rsidRDefault="003E79B2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proofErr w:type="gramStart"/>
      <w:r>
        <w:rPr>
          <w:rFonts w:ascii="Times New Roman" w:eastAsia="仿宋_GB2312" w:hAnsi="Times New Roman" w:hint="eastAsia"/>
          <w:sz w:val="22"/>
        </w:rPr>
        <w:t>朱苗</w:t>
      </w:r>
      <w:proofErr w:type="gramEnd"/>
      <w:r>
        <w:rPr>
          <w:rFonts w:ascii="Times New Roman" w:eastAsia="仿宋_GB2312" w:hAnsi="Times New Roman"/>
          <w:sz w:val="22"/>
        </w:rPr>
        <w:t xml:space="preserve">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 w:hint="eastAsia"/>
          <w:sz w:val="22"/>
        </w:rPr>
        <w:t>2025.04.22</w:t>
      </w:r>
      <w:r>
        <w:rPr>
          <w:rFonts w:ascii="Times New Roman" w:eastAsia="仿宋_GB2312" w:hAnsi="Times New Roman"/>
          <w:sz w:val="22"/>
        </w:rPr>
        <w:t xml:space="preserve">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 w:hint="eastAsia"/>
          <w:sz w:val="22"/>
        </w:rPr>
        <w:t>13017201818</w:t>
      </w:r>
      <w:r>
        <w:rPr>
          <w:rFonts w:ascii="Times New Roman" w:eastAsia="仿宋_GB2312" w:hAnsi="Times New Roman"/>
          <w:sz w:val="22"/>
        </w:rPr>
        <w:t xml:space="preserve">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D0C31" w:rsidRDefault="003E79B2" w:rsidP="00201957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079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:rsidR="002D0C3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卫生计生综合监督执法局　　</w:t>
            </w:r>
          </w:p>
        </w:tc>
      </w:tr>
      <w:tr w:rsidR="002D0C31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  <w:r w:rsidR="00A3303C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47.38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213.</w:t>
            </w:r>
            <w:r w:rsidR="00A3303C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A3303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187.95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A3303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87.93</w:t>
            </w:r>
            <w:r w:rsidR="003E79B2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A3303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8.79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一般公共预算：15</w:t>
            </w:r>
            <w:r w:rsidR="00A3303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6.79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A3303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132.81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 w:rsidR="00A3303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55.13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其他资金：5</w:t>
            </w:r>
            <w:r w:rsidR="00A3303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6.96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2D0C31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为净化医疗市场，打击非法行医行为，打击游医摊贩，应急突发公共卫生事件。规范医疗机构医疗执业行为，审核公共场所卫生许可证的办理，督促从业人员进行健康体检并持有效健康证上岗、学校传染病防控工作监督管理及全区生活饮用水卫生监管，督促用人单位进行职业病防控，对职业病危害岗进行有效管控，从业人员进行职业病体检。　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完成预期目标。</w:t>
            </w:r>
          </w:p>
        </w:tc>
      </w:tr>
      <w:tr w:rsidR="002D0C31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2D0C31" w:rsidRDefault="002D0C3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产出指标</w:t>
            </w:r>
          </w:p>
          <w:p w:rsidR="002D0C31" w:rsidRPr="00257C35" w:rsidRDefault="002D0C3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医疗机构、学校、公共场所、生活饮用水等被监督单位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频次数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日常监督工作完成情况。要求检查503户次以上。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已完成日常监督工作，已检查503户次以上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非法行医案件、公共卫生违法案件、职业卫生、生活饮用水案件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违法案件办理数的情况。要求20件以上。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违法案件办理已完成20件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开展集中业务培训人数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集中培训人数。要求人数达到200人次。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已开展集中培训，但培训人数没达到200人次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A3303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放射诊疗许可校验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放射诊疗许可校验完成情况。要求达到100%。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放射诊疗许可校验完成达到100%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双随机抽检完成率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双随机抽检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完成完成</w:t>
            </w:r>
            <w:proofErr w:type="gramEnd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情况。要求达到100%。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双随机抽检完成达到100%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公共场所卫生许可证持证率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公共场所卫生许可证持证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率完成</w:t>
            </w:r>
            <w:proofErr w:type="gramEnd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情况。要求达到95%以上。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公共场所卫生许可证持证率达到95%以上。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项目完成及时率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项目完成及时率达100%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完成及时率达100%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A3303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财政资金支出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A3303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财政支出控制在</w:t>
            </w:r>
            <w:r w:rsidRPr="00257C35">
              <w:rPr>
                <w:rFonts w:ascii="仿宋_GB2312" w:eastAsia="仿宋_GB2312" w:hAnsi="仿宋_GB2312" w:cs="仿宋_GB2312"/>
                <w:sz w:val="18"/>
                <w:szCs w:val="18"/>
              </w:rPr>
              <w:t>27.14万元（公用经费10.8万元，项</w:t>
            </w:r>
            <w:r w:rsidRPr="00257C35">
              <w:rPr>
                <w:rFonts w:ascii="仿宋_GB2312" w:eastAsia="仿宋_GB2312" w:hAnsi="仿宋_GB2312" w:cs="仿宋_GB2312"/>
                <w:sz w:val="18"/>
                <w:szCs w:val="18"/>
              </w:rPr>
              <w:lastRenderedPageBreak/>
              <w:t>目经费16.34万元，不包含人员经费）内得5分，大于预算视情况而定酌情扣分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 w:rsidP="00A3303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 xml:space="preserve">　</w:t>
            </w:r>
            <w:r w:rsidR="00A3303C"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财政支出已控制在</w:t>
            </w:r>
            <w:r w:rsidR="00A3303C" w:rsidRPr="00257C35">
              <w:rPr>
                <w:rFonts w:ascii="仿宋_GB2312" w:eastAsia="仿宋_GB2312" w:hAnsi="仿宋_GB2312" w:cs="仿宋_GB2312"/>
                <w:sz w:val="18"/>
                <w:szCs w:val="18"/>
              </w:rPr>
              <w:t>27.14万元（公用经费</w:t>
            </w:r>
            <w:r w:rsidR="00A3303C" w:rsidRPr="00257C35">
              <w:rPr>
                <w:rFonts w:ascii="仿宋_GB2312" w:eastAsia="仿宋_GB2312" w:hAnsi="仿宋_GB2312" w:cs="仿宋_GB2312"/>
                <w:sz w:val="18"/>
                <w:szCs w:val="18"/>
              </w:rPr>
              <w:lastRenderedPageBreak/>
              <w:t>10.8万元，项目经费16.34万元，不包含人员经费）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社会成本指标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2D0C3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2D0C3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生态环境成本指标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水电节约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ind w:firstLineChars="100" w:firstLine="200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效益指标</w:t>
            </w:r>
          </w:p>
          <w:p w:rsidR="002D0C31" w:rsidRPr="00257C35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（30分）</w:t>
            </w:r>
          </w:p>
          <w:p w:rsidR="002D0C31" w:rsidRPr="00257C35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经济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效</w:t>
            </w:r>
            <w:proofErr w:type="gramEnd"/>
          </w:p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非税收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入目标</w:t>
            </w:r>
            <w:proofErr w:type="gramEnd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对违反卫生法律法规的行为给予警告、罚款等卫生行政处罚，及时足额上缴非税收入、要求达到5万元。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有效促进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Pr="00257C35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人民健康发展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通过项目实施，减少疾病的传播，增加人民体质，提高人民健康水平，促进经济发展和社会和谐稳定。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水质安全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预防、控制和消除传染病的发生与流行；保障居民及学校、幼儿园用水安全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有效维护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区域经济社会可持续发展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提高队伍素质和群众法律意识，规范卫生监督队伍建设。引导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公保障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公众健康，探索建立、完善专项行动和日常监管相结合的长效机制和措施，完善医疗服务市场监管，维护社会稳定和谐。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增强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市民满意度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　市民对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卫计执法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局工作的满意度达98%以上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满意度≥98%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  <w:r w:rsidR="000E177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8.79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2D0C31" w:rsidRDefault="003E79B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proofErr w:type="gramStart"/>
      <w:r>
        <w:rPr>
          <w:rFonts w:ascii="Times New Roman" w:eastAsia="仿宋_GB2312" w:hAnsi="Times New Roman" w:hint="eastAsia"/>
          <w:sz w:val="22"/>
        </w:rPr>
        <w:t>朱苗</w:t>
      </w:r>
      <w:proofErr w:type="gramEnd"/>
      <w:r>
        <w:rPr>
          <w:rFonts w:ascii="Times New Roman" w:eastAsia="仿宋_GB2312" w:hAnsi="Times New Roman"/>
          <w:sz w:val="22"/>
        </w:rPr>
        <w:t xml:space="preserve">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 w:hint="eastAsia"/>
          <w:sz w:val="22"/>
        </w:rPr>
        <w:t>2025.04.22</w:t>
      </w:r>
      <w:r>
        <w:rPr>
          <w:rFonts w:ascii="Times New Roman" w:eastAsia="仿宋_GB2312" w:hAnsi="Times New Roman"/>
          <w:sz w:val="22"/>
        </w:rPr>
        <w:t xml:space="preserve">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 w:hint="eastAsia"/>
          <w:sz w:val="22"/>
        </w:rPr>
        <w:t>13017201818</w:t>
      </w:r>
      <w:r>
        <w:rPr>
          <w:rFonts w:ascii="Times New Roman" w:eastAsia="仿宋_GB2312" w:hAnsi="Times New Roman"/>
          <w:sz w:val="22"/>
        </w:rPr>
        <w:t xml:space="preserve">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2D0C31" w:rsidRDefault="003E79B2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4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2D0C3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E47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业务工作经费</w:t>
            </w:r>
          </w:p>
        </w:tc>
      </w:tr>
      <w:tr w:rsidR="002D0C31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2D0C31" w:rsidRDefault="003E79B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E47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E47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F201A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F201A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F201A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0C31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2D0C3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0C31" w:rsidRDefault="00F201A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F201A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为净化医疗市场，打击非法行医行为，打击游医摊贩，应急突发公共卫生事件。规范医疗机构医疗执业行为，审核公共场所卫生许可证的办理，督促从业人员进行健康体检并持有效健康证上岗、学校传染病防控工作监督管理及全区生活饮用水卫生监管，督促用人单位进行职业病防控，对职业病危害岗位进行有效管控，从业人员进行职业病体检。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F201A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完成预期目标</w:t>
            </w:r>
          </w:p>
        </w:tc>
      </w:tr>
      <w:tr w:rsidR="002D0C31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医疗机构、学校、公共场所、生活饮用水等被监督单位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频次数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日常监督工作完成情况。要求检查503户次以上。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已完成日常监督工作，已检查503户次以上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非法行医案件、公共卫生违法案件、职业卫生、生活饮用水案件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违法案件办理数的情况。要求20件以上。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违法案件办理已完成20件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开展集中业务培训人数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集中培训人数。要求人数达到200人次。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已开展集中培训，但培训人数没达到200人次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放射诊疗许可校验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放射诊疗许可校验完成情况。要求达到100%。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放射诊疗许可校验完成达到100%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双随机抽检完成率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双随机抽检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完成完成</w:t>
            </w:r>
            <w:proofErr w:type="gramEnd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情况。要求达到100%。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双随机抽检完成达到100%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公共场所卫生许可证持证率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公共场所卫生许可证持证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率完成</w:t>
            </w:r>
            <w:proofErr w:type="gramEnd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情况。要求达到95%以上。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公共场所卫生许可证持证率达到95%以上。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项目完成及</w:t>
            </w: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项目完成及</w:t>
            </w: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时率达100%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完成及时率</w:t>
            </w: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达100%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财政资金支出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财政支出控制在</w:t>
            </w:r>
            <w:r w:rsidRPr="00257C35">
              <w:rPr>
                <w:rFonts w:ascii="仿宋_GB2312" w:eastAsia="仿宋_GB2312" w:hAnsi="仿宋_GB2312" w:cs="仿宋_GB2312"/>
                <w:sz w:val="18"/>
                <w:szCs w:val="18"/>
              </w:rPr>
              <w:t>27.14万元（公用经费10.8万元，项目经费16.34万元，不包含人员经费）内得5分，大于预算视情况而定酌情扣分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财政支出已控制在</w:t>
            </w:r>
            <w:r w:rsidRPr="00257C35">
              <w:rPr>
                <w:rFonts w:ascii="仿宋_GB2312" w:eastAsia="仿宋_GB2312" w:hAnsi="仿宋_GB2312" w:cs="仿宋_GB2312"/>
                <w:sz w:val="18"/>
                <w:szCs w:val="18"/>
              </w:rPr>
              <w:t>27.14万元（公用经费10.8万元，项目经费16.34万元，不包含人员经费）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社会成本指标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不适用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不适用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2E8A" w:rsidTr="003C1AB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生态环境成本指标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水电节约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加强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ind w:firstLineChars="100" w:firstLine="200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Pr="00257C35" w:rsidRDefault="00B52E8A" w:rsidP="00B52E8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E8A" w:rsidRDefault="00B52E8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C1ABB" w:rsidTr="003C1AB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Pr="00257C35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非税收</w:t>
            </w:r>
            <w:proofErr w:type="gramStart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入目标</w:t>
            </w:r>
            <w:proofErr w:type="gramEnd"/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任务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Pr="00257C35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对违反卫生法律法规的行为给予警告、罚款等卫生行政处罚，及时足额上缴非税收入、要求达到5万元。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Pr="00257C35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有效促进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Pr="00257C35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Pr="00257C35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257C35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C1ABB" w:rsidTr="003C1AB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人民健康发展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通过项目实施，减少疾病的传播，增加人民体质，提高人民健康水平，促进经济发展和社会和谐稳定。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C1ABB" w:rsidTr="003C1AB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水质安全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预防、控制和消除传染病的发生与流行；保障居民及学校、幼儿园用水安全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有效维护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C1ABB" w:rsidTr="003C1AB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区域经济社会可持续发展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提高队伍素质和群众法律意识，规范卫生监督队伍建设。引导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公保障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公众健康，探索建立、完善专项行动和日常监管相结合的长效机制和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lastRenderedPageBreak/>
              <w:t>措施，完善医疗服务市场监管，维护社会稳定和谐。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lastRenderedPageBreak/>
              <w:t>增强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C1ABB" w:rsidTr="003C1AB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市民满意度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　市民对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卫计执法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局工作的满意度达98%以上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满意度≥98%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 w:rsidP="00A31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3C1ABB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ABB" w:rsidRDefault="003C1AB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2D0C31" w:rsidRDefault="002D0C31">
      <w:pPr>
        <w:rPr>
          <w:rFonts w:ascii="Times New Roman" w:eastAsia="仿宋_GB2312" w:hAnsi="Times New Roman"/>
          <w:sz w:val="18"/>
          <w:szCs w:val="18"/>
        </w:rPr>
      </w:pPr>
    </w:p>
    <w:p w:rsidR="002D0C31" w:rsidRDefault="003E79B2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2D0C31" w:rsidRDefault="003E79B2">
      <w:pPr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2D0C31" w:rsidRDefault="002D0C31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2D0C31" w:rsidRDefault="003E79B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年度君山区卫生计生综合监督执法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局整体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支出</w:t>
      </w:r>
    </w:p>
    <w:p w:rsidR="002D0C31" w:rsidRDefault="003E79B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2D0C31" w:rsidRDefault="002D0C31">
      <w:pPr>
        <w:jc w:val="center"/>
        <w:rPr>
          <w:rFonts w:ascii="Times New Roman" w:eastAsia="方正小标宋_GBK" w:hAnsi="Times New Roman"/>
          <w:b/>
          <w:sz w:val="52"/>
          <w:szCs w:val="52"/>
        </w:rPr>
      </w:pPr>
    </w:p>
    <w:p w:rsidR="002D0C31" w:rsidRDefault="002D0C31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2D0C31" w:rsidRDefault="002D0C31">
      <w:pPr>
        <w:rPr>
          <w:rFonts w:ascii="Times New Roman" w:eastAsia="黑体" w:hAnsi="Times New Roman"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2D0C31" w:rsidRDefault="002D0C31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2D0C31" w:rsidRDefault="003E79B2">
      <w:pPr>
        <w:spacing w:line="60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部门（单位）名称：</w:t>
      </w:r>
      <w:proofErr w:type="gramStart"/>
      <w:r>
        <w:rPr>
          <w:rFonts w:ascii="Times New Roman" w:eastAsia="仿宋_GB2312" w:hAnsi="Times New Roman" w:hint="eastAsia"/>
          <w:sz w:val="32"/>
          <w:szCs w:val="32"/>
          <w:u w:val="single"/>
        </w:rPr>
        <w:t>岳阳市君山区</w:t>
      </w:r>
      <w:proofErr w:type="gramEnd"/>
      <w:r>
        <w:rPr>
          <w:rFonts w:ascii="Times New Roman" w:eastAsia="仿宋_GB2312" w:hAnsi="Times New Roman" w:hint="eastAsia"/>
          <w:sz w:val="32"/>
          <w:szCs w:val="32"/>
          <w:u w:val="single"/>
        </w:rPr>
        <w:t>卫生计生综合监督执法局</w:t>
      </w:r>
    </w:p>
    <w:p w:rsidR="002D0C31" w:rsidRDefault="003E79B2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202</w:t>
      </w:r>
      <w:r w:rsidR="007E314E">
        <w:rPr>
          <w:rFonts w:ascii="Times New Roman" w:eastAsia="楷体_GB2312" w:hAnsi="Times New Roman" w:hint="eastAsia"/>
          <w:sz w:val="32"/>
          <w:szCs w:val="32"/>
        </w:rPr>
        <w:t>5</w:t>
      </w: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 w:rsidR="007E314E">
        <w:rPr>
          <w:rFonts w:ascii="Times New Roman" w:eastAsia="楷体_GB2312" w:hAnsi="Times New Roman" w:hint="eastAsia"/>
          <w:sz w:val="32"/>
          <w:szCs w:val="32"/>
        </w:rPr>
        <w:t>5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>
        <w:rPr>
          <w:rFonts w:ascii="Times New Roman" w:eastAsia="楷体_GB2312" w:hAnsi="Times New Roman"/>
          <w:sz w:val="32"/>
          <w:szCs w:val="32"/>
        </w:rPr>
        <w:t>月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 w:rsidR="007E314E">
        <w:rPr>
          <w:rFonts w:ascii="Times New Roman" w:eastAsia="楷体_GB2312" w:hAnsi="Times New Roman" w:hint="eastAsia"/>
          <w:sz w:val="32"/>
          <w:szCs w:val="32"/>
        </w:rPr>
        <w:t>6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>
        <w:rPr>
          <w:rFonts w:ascii="Times New Roman" w:eastAsia="楷体_GB2312" w:hAnsi="Times New Roman"/>
          <w:sz w:val="32"/>
          <w:szCs w:val="32"/>
        </w:rPr>
        <w:t>日</w:t>
      </w:r>
    </w:p>
    <w:p w:rsidR="002D0C31" w:rsidRDefault="003E79B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（此页为封面）</w:t>
      </w: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 w:rsidR="005C2AF3"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岳阳市君山区卫生计生综合监督执法局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</w:t>
      </w:r>
    </w:p>
    <w:p w:rsidR="002D0C31" w:rsidRDefault="003E79B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2D0C31" w:rsidRDefault="002D0C3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D0C31" w:rsidRDefault="003E79B2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2D0C31" w:rsidRDefault="003E79B2">
      <w:pPr>
        <w:snapToGrid w:val="0"/>
        <w:spacing w:line="520" w:lineRule="exact"/>
        <w:ind w:firstLineChars="200" w:firstLine="600"/>
        <w:rPr>
          <w:rFonts w:ascii="Times New Roman" w:eastAsia="黑体" w:hAnsi="Times New Roman"/>
          <w:sz w:val="32"/>
          <w:szCs w:val="32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岳阳市君山区</w:t>
      </w:r>
      <w:proofErr w:type="gramEnd"/>
      <w:r>
        <w:rPr>
          <w:rFonts w:ascii="仿宋_GB2312" w:eastAsia="仿宋_GB2312" w:hint="eastAsia"/>
          <w:sz w:val="30"/>
          <w:szCs w:val="30"/>
        </w:rPr>
        <w:t>卫生计生综合监督执法局</w:t>
      </w:r>
      <w:r>
        <w:rPr>
          <w:rFonts w:ascii="仿宋_GB2312" w:eastAsia="仿宋_GB2312" w:hint="eastAsia"/>
          <w:sz w:val="30"/>
          <w:szCs w:val="30"/>
          <w:lang w:val="zh-CN"/>
        </w:rPr>
        <w:t>依法负责本区社会抚养费征收和提供卫生保障、监督、管理、宣传等工作。</w:t>
      </w:r>
      <w:r>
        <w:rPr>
          <w:rFonts w:ascii="仿宋_GB2312" w:eastAsia="仿宋_GB2312" w:hint="eastAsia"/>
          <w:sz w:val="30"/>
          <w:szCs w:val="30"/>
        </w:rPr>
        <w:t>共设有科室5个，为办公室、医疗执业科、职业卫生科、公共场所科、财务室；年末实有人数14人，其中在编人员9人，临聘人员3人，退休人员2人。</w:t>
      </w:r>
    </w:p>
    <w:p w:rsidR="002D0C31" w:rsidRDefault="003E79B2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2D0C31" w:rsidRDefault="003E79B2">
      <w:pPr>
        <w:pStyle w:val="a6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2D0C31" w:rsidRDefault="003E79B2">
      <w:pPr>
        <w:pStyle w:val="a6"/>
        <w:widowControl/>
        <w:spacing w:line="640" w:lineRule="exact"/>
        <w:ind w:firstLine="60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仿宋_GB2312" w:eastAsia="仿宋_GB2312" w:hAnsi="仿宋" w:hint="eastAsia"/>
          <w:sz w:val="30"/>
          <w:szCs w:val="30"/>
        </w:rPr>
        <w:t>2024年度一般公共预算基本支出1</w:t>
      </w:r>
      <w:r w:rsidR="00257C35">
        <w:rPr>
          <w:rFonts w:ascii="仿宋_GB2312" w:eastAsia="仿宋_GB2312" w:hAnsi="仿宋" w:hint="eastAsia"/>
          <w:sz w:val="30"/>
          <w:szCs w:val="30"/>
        </w:rPr>
        <w:t>32.81</w:t>
      </w:r>
      <w:r>
        <w:rPr>
          <w:rFonts w:ascii="仿宋_GB2312" w:eastAsia="仿宋_GB2312" w:hAnsi="仿宋" w:hint="eastAsia"/>
          <w:sz w:val="30"/>
          <w:szCs w:val="30"/>
        </w:rPr>
        <w:t>万元，占比</w:t>
      </w:r>
      <w:r w:rsidR="00257C35">
        <w:rPr>
          <w:rFonts w:ascii="仿宋_GB2312" w:eastAsia="仿宋_GB2312" w:hAnsi="仿宋" w:hint="eastAsia"/>
          <w:sz w:val="30"/>
          <w:szCs w:val="30"/>
        </w:rPr>
        <w:t>70.67</w:t>
      </w:r>
      <w:r>
        <w:rPr>
          <w:rFonts w:ascii="仿宋_GB2312" w:eastAsia="仿宋_GB2312" w:hAnsi="仿宋" w:hint="eastAsia"/>
          <w:sz w:val="30"/>
          <w:szCs w:val="30"/>
        </w:rPr>
        <w:t>%，主要用于人员及单位日常开支。</w:t>
      </w:r>
    </w:p>
    <w:p w:rsidR="002D0C31" w:rsidRDefault="003E79B2">
      <w:pPr>
        <w:pStyle w:val="a6"/>
        <w:widowControl/>
        <w:numPr>
          <w:ilvl w:val="0"/>
          <w:numId w:val="2"/>
        </w:numPr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项目支出情况</w:t>
      </w:r>
    </w:p>
    <w:p w:rsidR="00257C35" w:rsidRPr="00257C35" w:rsidRDefault="00257C35" w:rsidP="00257C35">
      <w:pPr>
        <w:pStyle w:val="a6"/>
        <w:widowControl/>
        <w:spacing w:line="64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257C35">
        <w:rPr>
          <w:rFonts w:ascii="仿宋_GB2312" w:eastAsia="仿宋_GB2312" w:hAnsi="仿宋" w:hint="eastAsia"/>
          <w:sz w:val="30"/>
          <w:szCs w:val="30"/>
        </w:rPr>
        <w:t>项目支出55.31万元，占比</w:t>
      </w:r>
      <w:r>
        <w:rPr>
          <w:rFonts w:ascii="仿宋_GB2312" w:eastAsia="仿宋_GB2312" w:hAnsi="仿宋" w:hint="eastAsia"/>
          <w:sz w:val="30"/>
          <w:szCs w:val="30"/>
        </w:rPr>
        <w:t>29.33</w:t>
      </w:r>
      <w:r w:rsidRPr="00257C35">
        <w:rPr>
          <w:rFonts w:ascii="仿宋_GB2312" w:eastAsia="仿宋_GB2312" w:hAnsi="仿宋" w:hint="eastAsia"/>
          <w:sz w:val="30"/>
          <w:szCs w:val="30"/>
        </w:rPr>
        <w:t>%，主要用于本单位公共场所卫生监督、职业卫生监督、医疗职业等项目开支等。</w:t>
      </w:r>
    </w:p>
    <w:p w:rsidR="002D0C31" w:rsidRDefault="003E79B2" w:rsidP="002D0C31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:rsidR="002D0C31" w:rsidRDefault="003E79B2" w:rsidP="002D0C31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无。</w:t>
      </w:r>
    </w:p>
    <w:p w:rsidR="002D0C31" w:rsidRDefault="003E79B2">
      <w:pPr>
        <w:pStyle w:val="a6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2D0C31" w:rsidRDefault="003E79B2">
      <w:pPr>
        <w:pStyle w:val="a6"/>
        <w:widowControl/>
        <w:spacing w:line="64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</w:rPr>
        <w:t>无。</w:t>
      </w:r>
    </w:p>
    <w:p w:rsidR="002D0C31" w:rsidRDefault="003E79B2">
      <w:pPr>
        <w:pStyle w:val="a6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2D0C31" w:rsidRDefault="003E79B2" w:rsidP="002D0C31">
      <w:pPr>
        <w:pStyle w:val="a6"/>
        <w:widowControl/>
        <w:spacing w:line="64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无。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2D0C31" w:rsidRDefault="003E79B2">
      <w:pPr>
        <w:pStyle w:val="Default"/>
        <w:spacing w:line="600" w:lineRule="exact"/>
        <w:ind w:firstLineChars="200" w:firstLine="600"/>
        <w:rPr>
          <w:rFonts w:ascii="仿宋_GB2312" w:eastAsia="仿宋_GB2312" w:hAnsi="仿宋" w:cs="Times New Roman"/>
          <w:color w:val="auto"/>
          <w:sz w:val="30"/>
          <w:szCs w:val="30"/>
        </w:rPr>
      </w:pPr>
      <w:r>
        <w:rPr>
          <w:rFonts w:ascii="仿宋_GB2312" w:eastAsia="仿宋_GB2312" w:hAnsi="仿宋" w:cs="Times New Roman" w:hint="eastAsia"/>
          <w:color w:val="auto"/>
          <w:sz w:val="30"/>
          <w:szCs w:val="30"/>
        </w:rPr>
        <w:t>1.运行成本上，单位遵循厉行节俭、以支定收的原则，严格按照财政预算批复的范围和用途使用资金，支出的资金基本都是对单位建设和监督检查的必要支出。2.管理效率上，2024年我单位支出资金在卫生健康专项整治和日常监督检查、基本建设及设备购置等方面都做到了科学合理，在保证正常运转、完成各项业务工作的前提下，使用资金科学合理，资金使用效率高。3.履职效能上，单位支出是行政管理职能发挥的主要方式，也是衡量整体履职效能的重要指标，本单位为此，根据发展目标规划，通过合理的支出，合理配置和调整现有资源，优化资源配置结构；提高设备使用效益等；建立健全内部控制制度和机制，规范内部控制流程和程序，并加强各科室、各岗位的监督、考核和评价，使其发挥出应有效能。4.可持续发展能力上，单位制了</w:t>
      </w:r>
      <w:proofErr w:type="gramStart"/>
      <w:r>
        <w:rPr>
          <w:rFonts w:ascii="仿宋_GB2312" w:eastAsia="仿宋_GB2312" w:hAnsi="仿宋" w:cs="Times New Roman" w:hint="eastAsia"/>
          <w:color w:val="auto"/>
          <w:sz w:val="30"/>
          <w:szCs w:val="30"/>
        </w:rPr>
        <w:t>定科学</w:t>
      </w:r>
      <w:proofErr w:type="gramEnd"/>
      <w:r>
        <w:rPr>
          <w:rFonts w:ascii="仿宋_GB2312" w:eastAsia="仿宋_GB2312" w:hAnsi="仿宋" w:cs="Times New Roman" w:hint="eastAsia"/>
          <w:color w:val="auto"/>
          <w:sz w:val="30"/>
          <w:szCs w:val="30"/>
        </w:rPr>
        <w:t>的管理标准和管理制度，监督各部门落实预算细则，让每一笔支出都有利于单位的持续发展，切实</w:t>
      </w:r>
      <w:proofErr w:type="gramStart"/>
      <w:r>
        <w:rPr>
          <w:rFonts w:ascii="仿宋_GB2312" w:eastAsia="仿宋_GB2312" w:hAnsi="仿宋" w:cs="Times New Roman" w:hint="eastAsia"/>
          <w:color w:val="auto"/>
          <w:sz w:val="30"/>
          <w:szCs w:val="30"/>
        </w:rPr>
        <w:t>提经费</w:t>
      </w:r>
      <w:proofErr w:type="gramEnd"/>
      <w:r>
        <w:rPr>
          <w:rFonts w:ascii="仿宋_GB2312" w:eastAsia="仿宋_GB2312" w:hAnsi="仿宋" w:cs="Times New Roman" w:hint="eastAsia"/>
          <w:color w:val="auto"/>
          <w:sz w:val="30"/>
          <w:szCs w:val="30"/>
        </w:rPr>
        <w:t>使用效益，减少资源浪费。5.社会效应和服务对象满意度上，单位为辖区对象提供培训、讲解卫生知识，服务的质量、数量、服务态度得到民众的认可。</w:t>
      </w:r>
    </w:p>
    <w:p w:rsidR="002D0C31" w:rsidRDefault="003E79B2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2D0C31" w:rsidRDefault="003E79B2">
      <w:pPr>
        <w:pStyle w:val="a4"/>
        <w:rPr>
          <w:rFonts w:ascii="仿宋_GB2312" w:eastAsia="仿宋_GB2312"/>
          <w:sz w:val="30"/>
          <w:szCs w:val="30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预算精准性有待进一步提高、预算绩效管理意识有待进一步加强。</w:t>
      </w:r>
    </w:p>
    <w:p w:rsidR="002D0C31" w:rsidRDefault="003E79B2">
      <w:pPr>
        <w:widowControl/>
        <w:numPr>
          <w:ilvl w:val="0"/>
          <w:numId w:val="4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下一步改进措施</w:t>
      </w:r>
    </w:p>
    <w:p w:rsidR="002D0C31" w:rsidRDefault="003E79B2">
      <w:pPr>
        <w:pStyle w:val="a0"/>
        <w:ind w:leftChars="0" w:left="0" w:firstLineChars="0" w:firstLine="0"/>
      </w:pPr>
      <w:r>
        <w:rPr>
          <w:rFonts w:hint="eastAsia"/>
        </w:rPr>
        <w:t xml:space="preserve">     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一是切实加快预算执行进度，进一步提升资金使用效率。</w:t>
      </w:r>
      <w:r>
        <w:rPr>
          <w:rFonts w:ascii="仿宋_GB2312" w:eastAsia="仿宋_GB2312" w:hint="eastAsia"/>
          <w:sz w:val="30"/>
          <w:szCs w:val="30"/>
        </w:rPr>
        <w:lastRenderedPageBreak/>
        <w:t>二是密切关注目标任务开展情况，确保实际工作切合绩效目标。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九、部门整体支出绩效自评结果拟应用和公开情况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2D0C31" w:rsidRDefault="003E79B2">
      <w:pPr>
        <w:pStyle w:val="a0"/>
        <w:ind w:leftChars="428" w:left="1198" w:firstLineChars="0" w:firstLine="0"/>
      </w:pPr>
      <w:r>
        <w:rPr>
          <w:rFonts w:ascii="仿宋_GB2312" w:eastAsia="仿宋_GB2312" w:hint="eastAsia"/>
          <w:sz w:val="30"/>
          <w:szCs w:val="30"/>
        </w:rPr>
        <w:t>无。</w:t>
      </w:r>
    </w:p>
    <w:p w:rsidR="002D0C31" w:rsidRDefault="002D0C31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D0C31" w:rsidRDefault="003E79B2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报告需要以下附件：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支出一张表）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4.政府性基金预算支出情况表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5.国有资本经营预算支出情况表</w:t>
      </w:r>
    </w:p>
    <w:p w:rsidR="002D0C31" w:rsidRDefault="003E79B2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6.社会保险基金预算支出情况表</w:t>
      </w:r>
    </w:p>
    <w:p w:rsidR="002D0C31" w:rsidRDefault="003E79B2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2D0C31" w:rsidRDefault="003E79B2" w:rsidP="00201957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2D0C31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2D0C3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2D0C31" w:rsidRDefault="002D0C3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D0C31" w:rsidRDefault="003E79B2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2D0C31" w:rsidRDefault="003E79B2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2D0C3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2D0C3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2D0C31" w:rsidRDefault="002D0C3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2D0C31" w:rsidRDefault="003E79B2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2D0C3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2D0C31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2D0C31" w:rsidRDefault="002D0C3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2D0C31" w:rsidRDefault="003E79B2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2D0C31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2D0C31" w:rsidRDefault="003E79B2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2D0C31" w:rsidRDefault="003E79B2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2D0C31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jc w:val="center"/>
              <w:rPr>
                <w:rFonts w:ascii="Times New Roman" w:hAnsi="Times New Roman"/>
              </w:rPr>
            </w:pPr>
          </w:p>
          <w:p w:rsidR="002D0C31" w:rsidRDefault="003E79B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2D0C31" w:rsidRDefault="003E79B2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2D0C31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2D0C3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2D0C31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1" w:rsidRDefault="003E79B2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　</w:t>
            </w:r>
          </w:p>
        </w:tc>
      </w:tr>
    </w:tbl>
    <w:p w:rsidR="002D0C31" w:rsidRDefault="002D0C3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2D0C31" w:rsidSect="002D0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8A" w:rsidRDefault="00B52E8A" w:rsidP="005C2AF3">
      <w:r>
        <w:separator/>
      </w:r>
    </w:p>
  </w:endnote>
  <w:endnote w:type="continuationSeparator" w:id="1">
    <w:p w:rsidR="00B52E8A" w:rsidRDefault="00B52E8A" w:rsidP="005C2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8A" w:rsidRDefault="00B52E8A" w:rsidP="005C2AF3">
      <w:r>
        <w:separator/>
      </w:r>
    </w:p>
  </w:footnote>
  <w:footnote w:type="continuationSeparator" w:id="1">
    <w:p w:rsidR="00B52E8A" w:rsidRDefault="00B52E8A" w:rsidP="005C2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2D8B06"/>
    <w:multiLevelType w:val="singleLevel"/>
    <w:tmpl w:val="A62D8B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6EE2B0"/>
    <w:multiLevelType w:val="singleLevel"/>
    <w:tmpl w:val="F96EE2B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abstractNum w:abstractNumId="3">
    <w:nsid w:val="6D3D6D10"/>
    <w:multiLevelType w:val="singleLevel"/>
    <w:tmpl w:val="6D3D6D1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C0653FF"/>
    <w:multiLevelType w:val="singleLevel"/>
    <w:tmpl w:val="7C0653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886344"/>
    <w:rsid w:val="DFEF884A"/>
    <w:rsid w:val="F97F68A4"/>
    <w:rsid w:val="00073166"/>
    <w:rsid w:val="000E177E"/>
    <w:rsid w:val="00201957"/>
    <w:rsid w:val="002063C2"/>
    <w:rsid w:val="00257C35"/>
    <w:rsid w:val="002D0C31"/>
    <w:rsid w:val="003C1ABB"/>
    <w:rsid w:val="003E79B2"/>
    <w:rsid w:val="005C2AF3"/>
    <w:rsid w:val="007E314E"/>
    <w:rsid w:val="007F7E1D"/>
    <w:rsid w:val="00A3303C"/>
    <w:rsid w:val="00B52E8A"/>
    <w:rsid w:val="00E47820"/>
    <w:rsid w:val="00F201AE"/>
    <w:rsid w:val="11951A56"/>
    <w:rsid w:val="1F7C46A6"/>
    <w:rsid w:val="59886344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D0C31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2D0C31"/>
    <w:pPr>
      <w:ind w:leftChars="200" w:left="200" w:hangingChars="200" w:hanging="200"/>
    </w:pPr>
  </w:style>
  <w:style w:type="paragraph" w:styleId="a4">
    <w:name w:val="annotation text"/>
    <w:basedOn w:val="a"/>
    <w:qFormat/>
    <w:rsid w:val="002D0C31"/>
    <w:pPr>
      <w:jc w:val="left"/>
    </w:pPr>
  </w:style>
  <w:style w:type="paragraph" w:styleId="a5">
    <w:name w:val="Body Text"/>
    <w:basedOn w:val="a"/>
    <w:semiHidden/>
    <w:qFormat/>
    <w:rsid w:val="002D0C31"/>
    <w:rPr>
      <w:rFonts w:eastAsia="仿宋" w:cs="仿宋"/>
      <w:sz w:val="31"/>
      <w:szCs w:val="31"/>
      <w:lang w:eastAsia="en-US"/>
    </w:rPr>
  </w:style>
  <w:style w:type="paragraph" w:customStyle="1" w:styleId="1">
    <w:name w:val="列出段落1"/>
    <w:basedOn w:val="a"/>
    <w:uiPriority w:val="34"/>
    <w:qFormat/>
    <w:rsid w:val="002D0C31"/>
    <w:pPr>
      <w:ind w:firstLineChars="200" w:firstLine="420"/>
    </w:pPr>
  </w:style>
  <w:style w:type="paragraph" w:styleId="a6">
    <w:name w:val="List Paragraph"/>
    <w:basedOn w:val="a"/>
    <w:uiPriority w:val="99"/>
    <w:qFormat/>
    <w:rsid w:val="002D0C31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autoRedefine/>
    <w:qFormat/>
    <w:rsid w:val="002D0C31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7">
    <w:name w:val="header"/>
    <w:basedOn w:val="a"/>
    <w:link w:val="Char"/>
    <w:rsid w:val="005C2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5C2AF3"/>
    <w:rPr>
      <w:rFonts w:ascii="仿宋" w:eastAsia="宋体" w:hAnsi="仿宋" w:cs="Times New Roman"/>
      <w:sz w:val="18"/>
      <w:szCs w:val="18"/>
    </w:rPr>
  </w:style>
  <w:style w:type="paragraph" w:styleId="a8">
    <w:name w:val="footer"/>
    <w:basedOn w:val="a"/>
    <w:link w:val="Char0"/>
    <w:rsid w:val="005C2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5C2AF3"/>
    <w:rPr>
      <w:rFonts w:ascii="仿宋" w:eastAsia="宋体" w:hAnsi="仿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4976</Words>
  <Characters>1492</Characters>
  <Application>Microsoft Office Word</Application>
  <DocSecurity>0</DocSecurity>
  <Lines>12</Lines>
  <Paragraphs>12</Paragraphs>
  <ScaleCrop>false</ScaleCrop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jsczysdw082</cp:lastModifiedBy>
  <cp:revision>24</cp:revision>
  <dcterms:created xsi:type="dcterms:W3CDTF">2024-03-18T16:36:00Z</dcterms:created>
  <dcterms:modified xsi:type="dcterms:W3CDTF">2025-05-06T02:45:00Z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86FA610DEC0843AD92C07783B950D55F_13</vt:lpwstr>
  </property>
  <property fmtid="{D5CDD505-2E9C-101B-9397-08002B2CF9AE}" pid="4" name="KSOTemplateDocerSaveRecord">
    <vt:lpwstr>eyJoZGlkIjoiZmUzYjMwZjk1YzllZmUxODg1Y2Q1MzRkYzU2YjExMjgifQ==</vt:lpwstr>
  </property>
</Properties>
</file>