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299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5FEAFB8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年度部门整体支出绩效评价基础数据表 </w:t>
      </w:r>
    </w:p>
    <w:p w14:paraId="606FE564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年度部门整体支出绩效自评表</w:t>
      </w:r>
    </w:p>
    <w:p w14:paraId="09D6E26D"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年度市直预算部门整体支出绩效自评报告 （统一参考格式）   </w:t>
      </w:r>
    </w:p>
    <w:p w14:paraId="10885090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.部门整体支出绩效自评工作考核评分表</w:t>
      </w:r>
    </w:p>
    <w:p w14:paraId="0B43051B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B7A30B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E7BFCC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59D539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D0C9E0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0DD4FC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F80573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33BC27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7193CC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A6846A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1D9AAA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D3CC6C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6D54D2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B1A90C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BC5B70A">
      <w:pPr>
        <w:spacing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60ECDD5D">
      <w:pPr>
        <w:spacing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3CE9970"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DAB3204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4EF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764A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43AF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77D4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6D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4802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E048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94D2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5F5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7E7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213.64%　</w:t>
            </w:r>
          </w:p>
        </w:tc>
      </w:tr>
      <w:tr w14:paraId="4AD6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4922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19837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6B2E8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B71DB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50F86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C208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EE8B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BE44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6CF7D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CAD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D888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C1633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934EA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DB18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5E4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6D1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0E77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50C05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D6DA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1B3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A375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B3835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F8960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B5D8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2776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9EBE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C2B2A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2ACF0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D17DC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0BEF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8EB5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ECF3A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0599B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C99A0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C21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4DB3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6E645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873.5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76211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309DB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</w:t>
            </w:r>
          </w:p>
        </w:tc>
      </w:tr>
      <w:tr w14:paraId="70CC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459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44680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66D41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D2DF5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</w:t>
            </w:r>
          </w:p>
        </w:tc>
      </w:tr>
      <w:tr w14:paraId="7588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A4CF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2、公路建设类项目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D1BF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673.5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70F7E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CCA7EF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E90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D719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0F0FC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41.25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94EF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32.12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CED5C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32.12</w:t>
            </w:r>
          </w:p>
        </w:tc>
      </w:tr>
      <w:tr w14:paraId="2F7E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9B7F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6057C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13.53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tbl>
            <w:tblPr>
              <w:tblStyle w:val="7"/>
              <w:tblW w:w="15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"/>
            </w:tblGrid>
            <w:tr w14:paraId="342A8D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14:paraId="58DB6F7A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14:paraId="7A25FA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0.74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tbl>
            <w:tblPr>
              <w:tblStyle w:val="7"/>
              <w:tblW w:w="15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"/>
            </w:tblGrid>
            <w:tr w14:paraId="655E76D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14:paraId="67BCD7A3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14:paraId="734C93B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0.74</w:t>
            </w:r>
          </w:p>
        </w:tc>
      </w:tr>
      <w:tr w14:paraId="7261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D536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2BC3A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3.09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5EB88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6E532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2.62</w:t>
            </w:r>
          </w:p>
        </w:tc>
      </w:tr>
      <w:tr w14:paraId="0232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700B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3454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0.84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2594E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0.05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48D9C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0.05　</w:t>
            </w:r>
          </w:p>
        </w:tc>
      </w:tr>
      <w:tr w14:paraId="17C7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11F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546D7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9259E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37FCA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27.6</w:t>
            </w:r>
          </w:p>
        </w:tc>
      </w:tr>
      <w:tr w14:paraId="7F49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053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8387A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FBD59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386.94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2CE9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386.94</w:t>
            </w:r>
          </w:p>
        </w:tc>
      </w:tr>
      <w:tr w14:paraId="63D4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B2F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2DB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C265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8B08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F53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9084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5ED4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 w14:paraId="58C7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D722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87BE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EAB7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A0F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A12B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E95F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92A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 w14:paraId="6827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4659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284E2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　</w:t>
            </w:r>
          </w:p>
        </w:tc>
      </w:tr>
    </w:tbl>
    <w:p w14:paraId="0F2E5BCC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06B8CB96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0BFE4B3B"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  <w:lang w:eastAsia="zh-CN"/>
        </w:rPr>
        <w:t>向钰林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2025.5.8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18390080708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  <w:lang w:eastAsia="zh-CN"/>
        </w:rPr>
        <w:t>金政羽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F61747"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7"/>
        <w:tblW w:w="10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14:paraId="4CC2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4A8E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67CA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岳阳市君山区农村公路养护中心</w:t>
            </w:r>
          </w:p>
        </w:tc>
      </w:tr>
      <w:tr w14:paraId="4545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AA2B4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3B1782F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8AC1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163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001D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2ED6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502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1BE4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A94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4613A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821D7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C62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B027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549.75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3C1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2032.15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9C2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1639.08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22A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6D2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80.66%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CC6F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8.07</w:t>
            </w:r>
          </w:p>
        </w:tc>
      </w:tr>
      <w:tr w14:paraId="756E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C2056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82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7221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7D47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BF43E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4494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1522.39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B15F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1439.08</w:t>
            </w:r>
          </w:p>
        </w:tc>
      </w:tr>
      <w:tr w14:paraId="4579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8E7A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A500B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1E4B"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200</w:t>
            </w:r>
          </w:p>
        </w:tc>
      </w:tr>
      <w:tr w14:paraId="4E96F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A4936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D73F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1C0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CE7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F98B1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8F9E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其他资金：116.69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151E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FAB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ABF8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80804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1FB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28053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8D473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0FDF66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确保道路路面平整，减少交通事故的发生，确保养护和工班人员工资发放和人员支出，确保人员稳定。完成年初项目计划。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90F9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确保了农村公路路面平整，农村公路无交通事故，完成年初项目计划，确保了人员稳定，无上访事件。</w:t>
            </w:r>
          </w:p>
        </w:tc>
      </w:tr>
      <w:tr w14:paraId="650E2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E3FC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430665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196D9EB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D91CD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483C3F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F59F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81C2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749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7605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D542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C89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F6F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4ADB1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6BF4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B8988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58F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3634CAA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3DAC368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3B8E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D90C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农村公路日常养护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DF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3995m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E8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3995m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1BE5F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0F2873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991A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D8A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08F24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EDCA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77EF7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D1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农村公路行业检查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A7B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187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40CD50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749080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2C58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5F2E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0A3A1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6C42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A5E1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90D7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全面加强党的建设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2C6E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76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1495EED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C6D1C4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C3C6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1CB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72E36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0E0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9E5D7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B38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完工项目验收率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B29E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89B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6F6ABF3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7A81BF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4670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669B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DEF0D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E01A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51A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D21F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1102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4FC9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F6D9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4D28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751A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670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248F4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BCFC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DCB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9A46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89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29B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F99C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6E4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43C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8F8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48E85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30D1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3214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CD4E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5CE5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EBC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E51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F52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F3BC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4AD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5BA4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5573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50926C4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03D011A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7305C1B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B116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1C49BB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CB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降低公众运输成本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1885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DD36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有效降低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A6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F33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7BA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E1B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AEFB7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8CE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F8CF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72D1AB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0215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促进农村公路经济持续发展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E445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CA1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2391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2A13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99CE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未能有效促进，制定促进公路经济政策</w:t>
            </w:r>
          </w:p>
        </w:tc>
      </w:tr>
      <w:tr w14:paraId="4360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7805D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EEA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4DA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63FE84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367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改善区域内交通面貌和路域环境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B127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1CA2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有效改善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97F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31AC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A4B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C4A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61B96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9E24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071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E49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延长乡村道路使用寿命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C078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有效改善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45C0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有效改善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325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4EB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1A7B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B28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B168D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48C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77E9DE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5AD552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152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7F0A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BE2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B6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95%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2408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879A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B45A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51C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435D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3A28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EC0E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97.07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EFBA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564F3FDD"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  <w:lang w:eastAsia="zh-CN"/>
        </w:rPr>
        <w:t>向钰林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2025.5.8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>18390080708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  <w:lang w:eastAsia="zh-CN"/>
        </w:rPr>
        <w:t>金政羽</w:t>
      </w:r>
    </w:p>
    <w:p w14:paraId="5F93C6B9">
      <w:pPr>
        <w:rPr>
          <w:rFonts w:hint="eastAsia" w:ascii="黑体" w:hAnsi="黑体" w:eastAsia="黑体" w:cs="黑体"/>
          <w:sz w:val="32"/>
          <w:szCs w:val="32"/>
        </w:rPr>
      </w:pPr>
    </w:p>
    <w:p w14:paraId="0250275F">
      <w:pPr>
        <w:rPr>
          <w:rFonts w:hint="eastAsia" w:ascii="黑体" w:hAnsi="黑体" w:eastAsia="黑体" w:cs="黑体"/>
          <w:sz w:val="32"/>
          <w:szCs w:val="32"/>
        </w:rPr>
      </w:pPr>
    </w:p>
    <w:p w14:paraId="75520D2B">
      <w:pPr>
        <w:rPr>
          <w:rFonts w:hint="eastAsia" w:ascii="黑体" w:hAnsi="黑体" w:eastAsia="黑体" w:cs="黑体"/>
          <w:sz w:val="32"/>
          <w:szCs w:val="32"/>
        </w:rPr>
      </w:pPr>
    </w:p>
    <w:p w14:paraId="6FDC7AA6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902EA44"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object>
          <v:shape id="_x0000_i1025" o:spt="75" type="#_x0000_t75" style="height:630.45pt;width:446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AcroExch.Document.7" ShapeID="_x0000_i1025" DrawAspect="Content" ObjectID="_1468075725" r:id="rId4">
            <o:LockedField>false</o:LockedField>
          </o:OLEObject>
        </w:object>
      </w:r>
    </w:p>
    <w:p w14:paraId="394025E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年度岳阳市君山区农村公路养护中心整体支出绩效自评报告</w:t>
      </w:r>
    </w:p>
    <w:p w14:paraId="35B5F262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FD067F9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4D05B8DE"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岳阳市君山区农村公路养护中心单位内设机构包括：办公室、人事财务室、计划基建股、柳林洲、许市、钱粮湖三个农村公路管理站、钱粮湖、许市两个养护工班。</w:t>
      </w:r>
    </w:p>
    <w:p w14:paraId="1B884E46">
      <w:pPr>
        <w:pStyle w:val="10"/>
        <w:numPr>
          <w:ilvl w:val="0"/>
          <w:numId w:val="1"/>
        </w:numPr>
        <w:ind w:firstLine="602"/>
        <w:rPr>
          <w:rFonts w:eastAsia="仿宋"/>
          <w:b/>
          <w:bCs/>
          <w:sz w:val="30"/>
          <w:szCs w:val="30"/>
        </w:rPr>
      </w:pPr>
      <w:r>
        <w:rPr>
          <w:rFonts w:hint="eastAsia" w:eastAsia="仿宋"/>
          <w:b/>
          <w:bCs/>
          <w:sz w:val="30"/>
          <w:szCs w:val="30"/>
        </w:rPr>
        <w:t>主要职能：</w:t>
      </w:r>
    </w:p>
    <w:p w14:paraId="3900B643"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1、</w:t>
      </w:r>
      <w:r>
        <w:rPr>
          <w:rFonts w:hint="eastAsia" w:ascii="宋体" w:hAnsi="宋体" w:cs="宋体"/>
          <w:sz w:val="32"/>
          <w:szCs w:val="32"/>
          <w:highlight w:val="white"/>
          <w:lang w:val="zh-CN"/>
        </w:rPr>
        <w:t>负责监督指导全区农村公路的管理、养护、建设和协调工作；</w:t>
      </w:r>
    </w:p>
    <w:p w14:paraId="455483B6"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2、</w:t>
      </w:r>
      <w:r>
        <w:rPr>
          <w:rFonts w:hint="eastAsia" w:ascii="宋体" w:hAnsi="宋体" w:cs="宋体"/>
          <w:sz w:val="32"/>
          <w:szCs w:val="32"/>
          <w:highlight w:val="white"/>
          <w:lang w:val="zh-CN"/>
        </w:rPr>
        <w:t>编制和实施全区农村公路发展规划和战备规划，编制和实施农村公路建设年度计划；</w:t>
      </w:r>
    </w:p>
    <w:p w14:paraId="748A99BC"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3、</w:t>
      </w:r>
      <w:r>
        <w:rPr>
          <w:rFonts w:hint="eastAsia" w:ascii="宋体" w:hAnsi="宋体" w:cs="宋体"/>
          <w:sz w:val="32"/>
          <w:szCs w:val="32"/>
          <w:highlight w:val="white"/>
          <w:lang w:val="zh-CN"/>
        </w:rPr>
        <w:t>负责组织农村公路建设项目的资金筹措、招投标和工程建设管理工作；</w:t>
      </w:r>
    </w:p>
    <w:p w14:paraId="084335AF"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4、</w:t>
      </w:r>
      <w:r>
        <w:rPr>
          <w:rFonts w:hint="eastAsia" w:ascii="宋体" w:hAnsi="宋体" w:cs="宋体"/>
          <w:sz w:val="32"/>
          <w:szCs w:val="32"/>
          <w:highlight w:val="white"/>
          <w:lang w:val="zh-CN"/>
        </w:rPr>
        <w:t>农村公路养护及养护市场的监督管一、资金拨付、监管，协助区交通局监督项目建设单位严格履行交通基建程序；</w:t>
      </w:r>
    </w:p>
    <w:p w14:paraId="7591B035"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5、</w:t>
      </w:r>
      <w:r>
        <w:rPr>
          <w:rFonts w:hint="eastAsia" w:ascii="宋体" w:hAnsi="宋体" w:cs="宋体"/>
          <w:sz w:val="32"/>
          <w:szCs w:val="32"/>
          <w:highlight w:val="white"/>
          <w:lang w:val="zh-CN"/>
        </w:rPr>
        <w:t>负责全区农村公路调查、公路路况技术标准的评定、年度目标考核和科技、信息工作；</w:t>
      </w:r>
    </w:p>
    <w:p w14:paraId="060F1C26">
      <w:pPr>
        <w:pStyle w:val="10"/>
        <w:widowControl/>
        <w:spacing w:line="600" w:lineRule="exact"/>
        <w:ind w:left="420" w:firstLine="64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6、</w:t>
      </w:r>
      <w:r>
        <w:rPr>
          <w:rFonts w:hint="eastAsia" w:ascii="宋体" w:hAnsi="宋体" w:cs="宋体"/>
          <w:sz w:val="32"/>
          <w:szCs w:val="32"/>
          <w:highlight w:val="white"/>
          <w:lang w:val="zh-CN"/>
        </w:rPr>
        <w:t>负责指导乡（镇）农村公路管理养护等工作。</w:t>
      </w:r>
    </w:p>
    <w:p w14:paraId="33D3C409"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C8F5564"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2024年部门预算资金2032.15万元（基本支出1832.15万元，项目支出200万元），全年实际支出1639.08万元，其中基本支出1439.08万元，项目支出200元，预算执行率80.66%。　　　　　　</w:t>
      </w:r>
    </w:p>
    <w:p w14:paraId="1C11C9DF"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（一）基本支出情况</w:t>
      </w:r>
    </w:p>
    <w:p w14:paraId="4655BD81"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全年预算2032.15万元（工资福利支出284.27万元、商品和服务支出1677.33万元、对个人和家庭的补助68.32万元、资本性支出2.2万元），其中一般公共预算财政拨款1522.24万元。本单位2024年度基本支出1639.08万元（工资福利支出284.27万元、商品和服务支出1284.26万元、对个人和家庭的补助68.32万元、资本性支出2.2万元），其中人员经费352.6万元，公用经费34.34万元。</w:t>
      </w:r>
    </w:p>
    <w:p w14:paraId="0BD32442">
      <w:pPr>
        <w:pStyle w:val="10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</w:t>
      </w:r>
      <w:r>
        <w:rPr>
          <w:rFonts w:hint="eastAsia" w:eastAsia="仿宋_GB2312" w:cs="仿宋_GB2312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14:paraId="0CBFEEC8">
      <w:pPr>
        <w:pStyle w:val="10"/>
        <w:widowControl/>
        <w:numPr>
          <w:ilvl w:val="0"/>
          <w:numId w:val="2"/>
        </w:numPr>
        <w:spacing w:line="560" w:lineRule="exact"/>
        <w:ind w:firstLine="64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项目支出情况</w:t>
      </w:r>
    </w:p>
    <w:p w14:paraId="0D98B5F9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74F2B3EE"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2805AE04"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709483F5"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4FEE97B1"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22D017E4"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14B346C"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64C1A145">
      <w:pPr>
        <w:pStyle w:val="10"/>
        <w:widowControl/>
        <w:spacing w:line="560" w:lineRule="exact"/>
        <w:ind w:left="560" w:leftChars="20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 w14:paraId="61E23966">
      <w:pPr>
        <w:pStyle w:val="10"/>
        <w:widowControl/>
        <w:spacing w:line="560" w:lineRule="exact"/>
        <w:ind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　　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资产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开支上，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厉行节约，从严控制，202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%。根据《部门整体支出绩效自评表》自评得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97.02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分(详见附表2)，部门整体支出绩效为“优”</w:t>
      </w:r>
    </w:p>
    <w:p w14:paraId="04F7494F">
      <w:pPr>
        <w:widowControl/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 w14:paraId="020B8805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1.严格执行预算管理制度，切实降低运行成本。2024年，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100%，切实降低运行成本，发挥了财政资金的最大效益。</w:t>
      </w:r>
    </w:p>
    <w:p w14:paraId="2AE5ACAB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14:paraId="7FC723E2"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履职产出效益方面</w:t>
      </w:r>
    </w:p>
    <w:p w14:paraId="62DD9CA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完成农村公路日常养护里程215公里，实施预防性养护34.489公里，修复性养护70.685公里。其中挖补换板2.39万㎡、路面白改黑2.8万㎡、清灌缝12.7万米，2024年底全省路况评定显示我区农村公路中等以上路率达95.95%。</w:t>
      </w:r>
    </w:p>
    <w:p w14:paraId="63551279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完成危桥改造2座、安防工程7.734公里，处理林角二桥拆除等安全隐患点15处，群众出行安全保障显著增强。</w:t>
      </w:r>
    </w:p>
    <w:p w14:paraId="5DDDDFCD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高质量完成了君山区Y710壕沟桥路至安保大道公路、君山区Y742铺子嘴至金门堡桥公路等18公里资源产业路建设，惠及沿线4镇1办、12个行政村。</w:t>
      </w:r>
    </w:p>
    <w:p w14:paraId="2A947E21">
      <w:pPr>
        <w:pStyle w:val="2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64969D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（一）预算精准性有待进一步提高</w:t>
      </w:r>
      <w:r>
        <w:rPr>
          <w:rFonts w:hint="eastAsia" w:ascii="Times New Roman" w:hAnsi="Times New Roman" w:eastAsia="楷体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14:paraId="1FB930E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14:paraId="4CB206FE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财务业务水平有待进一步提高。</w:t>
      </w:r>
      <w:r>
        <w:rPr>
          <w:rFonts w:hint="eastAsia" w:ascii="Times New Roman" w:hAnsi="Times New Roman" w:eastAsia="仿宋_GB2312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14:paraId="1AC1EED7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八、下一步改进措施</w:t>
      </w:r>
    </w:p>
    <w:p w14:paraId="3F9EA982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14:paraId="0F9B988F">
      <w:pPr>
        <w:widowControl/>
        <w:numPr>
          <w:ilvl w:val="0"/>
          <w:numId w:val="4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14:paraId="32525668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14:paraId="1C821CE3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14:paraId="11337482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0E994112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 w14:paraId="5E8B310D">
      <w:pPr>
        <w:widowControl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2F0CFAA7">
      <w:pPr>
        <w:widowControl/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B2ECA06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663A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75EAC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DD40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98DBF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30BC2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7331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046C3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218BC07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71145009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F38278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03848D6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E79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4020BF32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0F5A5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7178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22A3B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791E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0F4524D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CE324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929A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3A81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F9A83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16F6D89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253BE3C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9939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34D2C0F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F7FDA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9AC41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 w14:paraId="59425EEC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2181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B6494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F24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5717F98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CE9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5A36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0C3E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775229B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53B3D0C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75E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5360C38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F329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738C4835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487E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D7165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EECE77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50D3806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0EBBCEB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4AAEE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0B46A5DA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1D02B173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024C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4EAB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475F">
            <w:pPr>
              <w:jc w:val="center"/>
              <w:rPr>
                <w:rFonts w:ascii="Times New Roman" w:hAnsi="Times New Roman"/>
              </w:rPr>
            </w:pPr>
          </w:p>
          <w:p w14:paraId="2B4CDF3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02A4CA71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5082AF9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5D87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6879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72C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0C94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58C5BF3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F983A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6915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F52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1913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A0C3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97.07</w:t>
            </w:r>
          </w:p>
        </w:tc>
      </w:tr>
    </w:tbl>
    <w:p w14:paraId="2AD0751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70163EB"/>
    <w:multiLevelType w:val="singleLevel"/>
    <w:tmpl w:val="37016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9886344"/>
    <w:rsid w:val="000F1D5A"/>
    <w:rsid w:val="000F413F"/>
    <w:rsid w:val="001476B0"/>
    <w:rsid w:val="00241663"/>
    <w:rsid w:val="00286749"/>
    <w:rsid w:val="00325D7A"/>
    <w:rsid w:val="003502E1"/>
    <w:rsid w:val="004B5EDF"/>
    <w:rsid w:val="00520D1B"/>
    <w:rsid w:val="005236C6"/>
    <w:rsid w:val="005311CB"/>
    <w:rsid w:val="00605D84"/>
    <w:rsid w:val="00685522"/>
    <w:rsid w:val="00695D3F"/>
    <w:rsid w:val="00733CA4"/>
    <w:rsid w:val="008D1422"/>
    <w:rsid w:val="00BE0FBD"/>
    <w:rsid w:val="00BE624E"/>
    <w:rsid w:val="00C42247"/>
    <w:rsid w:val="00C75F4C"/>
    <w:rsid w:val="00CA701C"/>
    <w:rsid w:val="00CB2802"/>
    <w:rsid w:val="00D81298"/>
    <w:rsid w:val="00DA7522"/>
    <w:rsid w:val="00E3479E"/>
    <w:rsid w:val="0E3D3414"/>
    <w:rsid w:val="124C51EF"/>
    <w:rsid w:val="465161EB"/>
    <w:rsid w:val="55CA39A4"/>
    <w:rsid w:val="57234B81"/>
    <w:rsid w:val="59886344"/>
    <w:rsid w:val="69F60E00"/>
    <w:rsid w:val="7FCF7BF6"/>
    <w:rsid w:val="DFEF884A"/>
    <w:rsid w:val="F97F6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样式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character" w:customStyle="1" w:styleId="12">
    <w:name w:val="页眉 Char"/>
    <w:basedOn w:val="8"/>
    <w:link w:val="5"/>
    <w:qFormat/>
    <w:uiPriority w:val="0"/>
    <w:rPr>
      <w:rFonts w:ascii="仿宋" w:hAnsi="仿宋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仿宋" w:hAnsi="仿宋"/>
      <w:sz w:val="18"/>
      <w:szCs w:val="18"/>
    </w:rPr>
  </w:style>
  <w:style w:type="character" w:customStyle="1" w:styleId="14">
    <w:name w:val="vxe-cell--label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4620</Words>
  <Characters>5100</Characters>
  <Lines>9</Lines>
  <Paragraphs>11</Paragraphs>
  <TotalTime>7</TotalTime>
  <ScaleCrop>false</ScaleCrop>
  <LinksUpToDate>false</LinksUpToDate>
  <CharactersWithSpaces>5236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2025-05-09T08:09:00Z</dcterms:created>
  <dc:creator>Administrator</dc:creator>
  <cp:lastModifiedBy>Administrator</cp:lastModifiedBy>
  <cp:lastPrinted>2025-05-21T07:14:16Z</cp:lastPrinted>
  <dcterms:modified xsi:type="dcterms:W3CDTF">2025-05-21T07:14:23Z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799D2884846C41D6A225437E320025D5_13</vt:lpwstr>
  </property>
  <property fmtid="{D5CDD505-2E9C-101B-9397-08002B2CF9AE}" pid="4" name="KSOTemplateDocerSaveRecord">
    <vt:lpwstr>eyJoZGlkIjoiOTI2NjBkZjBkNTgzMWMzZjhjOTgwYzY1NjI3MjFhZTkifQ==</vt:lpwstr>
  </property>
</Properties>
</file>