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DA9BF"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 w14:paraId="79EB67A1"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7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14:paraId="22EB2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4853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4C5D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10F3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E3AB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 w14:paraId="03C54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EC29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918B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28DA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6322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86.67%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687E9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6386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717D6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C1CD8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26C66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 w14:paraId="2243B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E0AB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4C276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5.42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22D3E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5.45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23802B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4.57</w:t>
            </w:r>
          </w:p>
        </w:tc>
      </w:tr>
      <w:tr w14:paraId="478E8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06C57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B93F38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4.72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F309B4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4.45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38EAB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3.88</w:t>
            </w:r>
          </w:p>
        </w:tc>
      </w:tr>
      <w:tr w14:paraId="52565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C432B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2F6E4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4C678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4F222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</w:p>
        </w:tc>
      </w:tr>
      <w:tr w14:paraId="0ADDB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E4776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FF614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4.72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FCF5B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4.45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7BFE8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3.88</w:t>
            </w:r>
          </w:p>
        </w:tc>
      </w:tr>
      <w:tr w14:paraId="31E91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76E9F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A12EA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B9399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7EB1C8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</w:p>
        </w:tc>
      </w:tr>
      <w:tr w14:paraId="1F12E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12C6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3ECD7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0.70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17EA3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D12DA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0.69</w:t>
            </w:r>
          </w:p>
        </w:tc>
      </w:tr>
      <w:tr w14:paraId="57842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BFD7C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FBCA9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676.05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753BB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E90D8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815.07</w:t>
            </w:r>
          </w:p>
        </w:tc>
      </w:tr>
      <w:tr w14:paraId="2C1C9B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153B2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1、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B61FE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8.90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BFF81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37EB55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3756B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A1D80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、办案费支出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56C24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6.15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47766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E0ECF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3.22</w:t>
            </w:r>
          </w:p>
        </w:tc>
      </w:tr>
      <w:tr w14:paraId="0A4B0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C2EB6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、环境监测、监控及监察能力建设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3753FC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15.00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67329A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28FB4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12.56</w:t>
            </w:r>
          </w:p>
        </w:tc>
      </w:tr>
      <w:tr w14:paraId="33A0F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1A28C">
            <w:pPr>
              <w:widowControl/>
              <w:spacing w:line="360" w:lineRule="exact"/>
              <w:ind w:firstLine="400" w:firstLineChars="2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环境监察监测等运行经费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6D30B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26.00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D2D3A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82C984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34.99</w:t>
            </w:r>
          </w:p>
        </w:tc>
      </w:tr>
      <w:tr w14:paraId="0DCCE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13BA4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25D8D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620.00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95212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AF512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764.30</w:t>
            </w:r>
          </w:p>
        </w:tc>
      </w:tr>
      <w:tr w14:paraId="6A3D8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894F8">
            <w:pPr>
              <w:widowControl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2020中央水污染防治专项（钱粮湖垸黑臭河道湖泊及水塘综合治理）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BBD098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600.00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EE251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577F5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350.00</w:t>
            </w:r>
          </w:p>
        </w:tc>
      </w:tr>
      <w:tr w14:paraId="7055C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E7AEF">
            <w:pPr>
              <w:widowControl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2022年省级农村生态环境保护专项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AE007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3ED8E3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590E6B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9A75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2BDFA">
            <w:pPr>
              <w:widowControl/>
              <w:spacing w:line="360" w:lineRule="exact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2022年中央重点生态保护修复治理（东洞庭湖滨带君山工濠河水环境综合治理项目）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FA96C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40DFC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70F2E6">
            <w:pPr>
              <w:widowControl/>
              <w:spacing w:line="360" w:lineRule="exact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414.30</w:t>
            </w:r>
          </w:p>
        </w:tc>
      </w:tr>
      <w:tr w14:paraId="1D0A57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0149E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63D132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212.7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7CB938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35.73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9D2F84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48.35</w:t>
            </w:r>
          </w:p>
        </w:tc>
      </w:tr>
      <w:tr w14:paraId="0C43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F160F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30CDC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205.58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A9C72F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24.85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4CDFE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31.42</w:t>
            </w:r>
          </w:p>
        </w:tc>
      </w:tr>
      <w:tr w14:paraId="76D43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DD9FC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ED7DF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5.83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071AC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3.50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F1A32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5.26</w:t>
            </w:r>
          </w:p>
        </w:tc>
      </w:tr>
      <w:tr w14:paraId="1481F3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9191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0926A8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1.29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DF6DE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50F9E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1.86</w:t>
            </w:r>
          </w:p>
        </w:tc>
      </w:tr>
      <w:tr w14:paraId="11F79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6C2FF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DF993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227.67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666A3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184.48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D8CA6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43.02</w:t>
            </w:r>
          </w:p>
        </w:tc>
      </w:tr>
      <w:tr w14:paraId="630D9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D114B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251E0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1DE8D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61.23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C0991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51A10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2D1B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</w:p>
          <w:p w14:paraId="15E1CCF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E50A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</w:p>
          <w:p w14:paraId="7EEE38B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F038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6EF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F541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9FE7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E8A4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 w14:paraId="75F8A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762B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ABF7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4B6B5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11C67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E5F82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FDAA6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8D37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681A1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08CE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A93D7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 w14:paraId="304FB022"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16"/>
          <w:szCs w:val="18"/>
          <w:highlight w:val="none"/>
        </w:rPr>
      </w:pPr>
      <w:r>
        <w:rPr>
          <w:rFonts w:hint="default" w:ascii="Times New Roman" w:hAnsi="Times New Roman" w:eastAsia="仿宋_GB2312" w:cs="Times New Roman"/>
          <w:sz w:val="16"/>
          <w:szCs w:val="18"/>
          <w:highlight w:val="none"/>
        </w:rPr>
        <w:t>说明：“项目支出”需要填报基本支出以外的所有项目支出情况，“公用经费”填报基本支出中的一般商品和服务支出。</w:t>
      </w:r>
    </w:p>
    <w:p w14:paraId="6ED69CA9"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</w:p>
    <w:p w14:paraId="71688139"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        填报日期：          联系电话：       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 w14:paraId="20F5E2F5"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7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075"/>
        <w:gridCol w:w="1027"/>
        <w:gridCol w:w="1265"/>
        <w:gridCol w:w="1310"/>
        <w:gridCol w:w="1264"/>
        <w:gridCol w:w="714"/>
        <w:gridCol w:w="916"/>
        <w:gridCol w:w="1434"/>
      </w:tblGrid>
      <w:tr w14:paraId="3C58A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287C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900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D036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岳阳市生态环境局君山分局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C658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70AC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 w14:paraId="1CE28A4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</w:p>
          <w:p w14:paraId="497D7D1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E30E7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41C54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76332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25C61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2D21F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409CA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D0F6A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6BAEE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ACB1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E4E5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63024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189.71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82836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866.71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57E7E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1050.25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F5400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39F59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100.00%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312C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3C48A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1C85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AB3B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5F01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 w14:paraId="48249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6DA2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3DA57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253.14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74848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235.18</w:t>
            </w:r>
          </w:p>
        </w:tc>
      </w:tr>
      <w:tr w14:paraId="0188A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73EE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5A2E1"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EE2CC"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815.07</w:t>
            </w:r>
          </w:p>
        </w:tc>
      </w:tr>
      <w:tr w14:paraId="17D04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9AC0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8557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C8BA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381C6C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716EA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50029"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613.57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C392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6F308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E97238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CC324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891F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56A58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44A1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ADA935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“春风行动”“夏季攻势”“利剑行动”和“守护蓝天”四大专项生态环保工作有序开展，辖区环境质量不断改善提升，污染防治攻坚考核明显提档进位，全区未发生较大以上的环境污染事件和生态破坏事件；</w:t>
            </w:r>
          </w:p>
          <w:p w14:paraId="58B3577D">
            <w:pPr>
              <w:widowControl/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水污染质量持续改善；</w:t>
            </w:r>
          </w:p>
          <w:p w14:paraId="48E058AE">
            <w:pPr>
              <w:widowControl/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总磷削减项目“攻坚战”有序推进；</w:t>
            </w:r>
          </w:p>
          <w:p w14:paraId="275993A8">
            <w:pPr>
              <w:widowControl/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打响生态保护阵地战，确保生态功能区考核稳步向好；</w:t>
            </w:r>
          </w:p>
          <w:p w14:paraId="52287BD1">
            <w:pPr>
              <w:widowControl/>
              <w:numPr>
                <w:ilvl w:val="0"/>
                <w:numId w:val="0"/>
              </w:numPr>
              <w:spacing w:line="24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5、加大日常环境执法，严厉打击违法行为，不断强化环境监管。　　</w:t>
            </w:r>
          </w:p>
        </w:tc>
        <w:tc>
          <w:tcPr>
            <w:tcW w:w="43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E2821">
            <w:pPr>
              <w:widowControl/>
              <w:spacing w:line="240" w:lineRule="exact"/>
              <w:jc w:val="left"/>
              <w:rPr>
                <w:rFonts w:ascii="仿宋_GB2312" w:hAnsi="Calibri" w:eastAsia="仿宋_GB2312" w:cs="Times New Roman"/>
                <w:kern w:val="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、环境资料持续向好。水环境方面，我区三个主要断面均达到目标水质；大气方面，我区空气质量优良率为86.4%，各项污染物指标基本达到了考核要求；土壤方面，规模化畜禽养殖粪污利用率、受污染耕地安全利用率、医疗废物安全无害化处置率及一般工业固体废物综合利用率均为100%</w:t>
            </w:r>
            <w:r>
              <w:rPr>
                <w:rFonts w:ascii="仿宋_GB2312" w:hAnsi="Calibri" w:eastAsia="仿宋_GB2312" w:cs="Times New Roman"/>
                <w:kern w:val="2"/>
                <w:sz w:val="32"/>
                <w:szCs w:val="32"/>
              </w:rPr>
              <w:t>。</w:t>
            </w:r>
          </w:p>
          <w:p w14:paraId="6FE24F71">
            <w:pPr>
              <w:pStyle w:val="2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2、始终坚持把生态文明建设和生态环境保护摆在重要位置，坚定不移走生态优先、绿色发展之路，积极宣传生态环境保护理念，筹办了“绿水青山·大美君山”生态主题大型宣传活动，引导人们增强生态文明建设的思想自觉和行动自觉。</w:t>
            </w:r>
          </w:p>
          <w:p w14:paraId="5B358DC4">
            <w:pPr>
              <w:pStyle w:val="3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3、打好污染防治攻坚战。一是重点突出蓝天保卫战。深入开展涉气企业“零点行动”专项整治，全面推行空气质量全过程管控，持续深化联合执法行动等，紧盯空气质量数据变化，紧扣重点时段重点区域，形成大气环境严管严控的高压态势。二是扎实开展碧水保卫战。不断深化河（湖）长制工作，全力开展“碧水攻坚行动”“洞庭清波”“河道保洁”“清河净滩”等活动，完成长江外滩欧美黑杨清退任务和河湖干渠水葫芦清理工作，推进排污口整治工作，完成整改销号工作。三是稳步推进净土保卫战。加强建设用地土壤环境监管工作，制止违法侵占耕地行为，开展耕地“非农化”“非粮化”专项整治行动。</w:t>
            </w:r>
          </w:p>
          <w:p w14:paraId="6A32A033">
            <w:pPr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4、坚持服务优先，不断提升环境管理水平。督促各工业企业严格落实排污许可证制度，开展排污许可证的质量核查，助力绿色发展转型；组织开展防范化解环境风险隐患利剑行动、大气污染防治特护期专项执法行动，积极推进“双随机”执法机制，严格环境监察执法；着力解决群众关注重点问题，落实信访工作责任。</w:t>
            </w:r>
          </w:p>
        </w:tc>
      </w:tr>
      <w:tr w14:paraId="16FE3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873A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6695405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2722CAF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3687BB6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 w14:paraId="4B88698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6C3A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5D91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4301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99DBE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3A0CF"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69CF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8A6C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142C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6E999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B0A7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7C14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699974F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8AFED7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410D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05523A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32BEBBC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90E02E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4B34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办理生态环境类执法案件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F607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267件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B9507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0CCE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5887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DB2A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FF95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987D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3B86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0BE66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43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2023年罚没征收任务数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1E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20万元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40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20.71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万元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81C0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6095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F4AE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89E3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5C13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3DAE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8147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B75D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2023年“夏季攻势”任务清单任务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59491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20项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4A23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FC40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983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6EC8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8251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D984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B7CE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C06F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6EFF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本区环保工作信访处理率、议案提案处理率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3AD3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71AF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4978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3FB9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8615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1DB4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3D63D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68E2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2974B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4F09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各种整治符合环保标准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0E54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AD9C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7449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1F95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A1E4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02460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5DDB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E5622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7B79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F5A4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无较大污染事件发生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9581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争取0发生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6B59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0发生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F092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5524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1B7E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4275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B216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7C46D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EF67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C26A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按时完成各项指标任务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EA00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2023-12-31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FC13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7DE7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237F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EEE3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3BAD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AF5B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9FB4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377A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069C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所有的支出控制在预算内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DD00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工作经费和专项治理经费按要求控制在预算内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B3F7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14EF8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47E8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AFAE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3B5218B"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5F4EE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4D93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4E3E453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482D89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6C45072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9B22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6E2A776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D906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实现节能减排，减少环保治理经费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19F8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经济效益较好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0D9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经济效益较好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86D6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9A9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6477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5CFF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7FF8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9DF9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25E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223F02B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5B8D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改善辖区环境质量及群众生产生活环境，达到环境质量控制目标。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7AC2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社会效益好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D6C0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社会效益好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B975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3090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7745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03085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3469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FAE2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7640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5A62957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4FD1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eastAsia="zh-CN"/>
              </w:rPr>
              <w:t>促进环境质量认知度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F9E8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E3E5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EB13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765C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84EB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31F1A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FA0E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A93E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34F1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8EA6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本区的环境质量得到持续改善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B831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有可持续影响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F74C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本区的环境质量得到持续改善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D2E5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CEAB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E8A8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7384C9B0">
        <w:trPr>
          <w:trHeight w:val="330" w:hRule="atLeast"/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3FCF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8F70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6A54A37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06C79C2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783D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51C2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社会反响良好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B51D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群众满意率上升到95%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4236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5B2A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71CC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5A8F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0DC6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9705DB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4F9E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A6288">
            <w:pPr>
              <w:widowControl/>
              <w:spacing w:line="240" w:lineRule="exac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12FC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33B1F7B5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495A18C8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62003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95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2974F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9B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办案费　</w:t>
            </w:r>
          </w:p>
        </w:tc>
      </w:tr>
      <w:tr w14:paraId="3975B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CC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AC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B3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83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岳阳市生态环境局君山分局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D09A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CD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</w:p>
          <w:p w14:paraId="501DF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46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66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150B6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68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65FB4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F81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0445CD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CC5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BDC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DB8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59913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60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5D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E4C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9D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3.22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0A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3.22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9E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99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80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70A08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71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43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C4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04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3.22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9C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3.22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6A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50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E6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A60A60D"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3F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11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C1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1A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EC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29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42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E3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949C0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16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28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CE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43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D7E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66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EF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21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9BCC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65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73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C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3D6EE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67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41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完成执收目标20万元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3B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已完成</w:t>
            </w:r>
          </w:p>
        </w:tc>
      </w:tr>
      <w:tr w14:paraId="71384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E7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76C2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0836C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039F5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43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1F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1C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32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1B5CA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FE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1BDF5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A4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C9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CC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43A42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ECF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1B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68854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727D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9C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09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2023年罚没征收任务数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27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20万元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60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20.71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万元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D0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3F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9D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A1D1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CE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CE0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77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6E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确实罚没收入100%完成任务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8C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罚没任务完成率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63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9B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87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3B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B681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F89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AD8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28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6B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按时完成各项指标任务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EC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2023年12月31日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3B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2023年12月31日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BE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04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34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181B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D5B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8F9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EC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8B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支出控制在预算内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2A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2.00万元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CC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3.22万元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7F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2F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4C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要控制支出在预算范围内</w:t>
            </w:r>
          </w:p>
        </w:tc>
      </w:tr>
      <w:tr w14:paraId="4D2B6336"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22B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CA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7B4251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3E8CD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723C7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7F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0B89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A6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促进经济发展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93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85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平稳发展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DA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BE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76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B831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12D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8F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EB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09595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51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改善居民生产、生活环境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0D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3C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AD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92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FE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D71E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349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A1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FB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64BD2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CA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城区空气质量优良率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B5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大于等于90%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BD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A9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45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9C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87F7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CA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94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F2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1243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社会可持续发展良好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B323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效益明显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5901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效益明显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71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45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87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C7FD3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028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72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73DE2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55E4D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F4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A0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君山区全体人民群众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2A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大于等于95%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2620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Arial" w:hAnsi="Arial" w:cs="Arial"/>
                <w:color w:val="000000"/>
                <w:sz w:val="20"/>
              </w:rPr>
              <w:t>≥</w:t>
            </w:r>
            <w:r>
              <w:rPr>
                <w:rFonts w:hint="eastAsia" w:ascii="Arial"/>
                <w:color w:val="000000"/>
                <w:sz w:val="20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482D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F7A8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22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229B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91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F4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78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F3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713D286F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01A26092"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4486E177"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p w14:paraId="541C0383"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</w:p>
    <w:p w14:paraId="239FC473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70BF2C13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58094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B3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4CCC1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84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环境监察监测等运行经费</w:t>
            </w:r>
          </w:p>
        </w:tc>
      </w:tr>
      <w:tr w14:paraId="75E3E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E8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AF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60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49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岳阳市生态环境局君山分局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F9A7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C6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</w:p>
          <w:p w14:paraId="7737F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9D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80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3D923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E6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5BD64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70D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3FD930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D75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73C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A3A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59C65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771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5F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FC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3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34.99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3D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34.99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BA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92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44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7F1A3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28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4E7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0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9A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34.99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19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34.99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6A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F4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52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92B8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CE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E2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4C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85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E5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54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48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C4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C22E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3A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76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EF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BB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63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A8D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7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B6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53BB3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7E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999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04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62E75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E2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5C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日常环境监管、执法工作；</w:t>
            </w:r>
          </w:p>
          <w:p w14:paraId="6ED44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委托第三方进行执法性监督监测；</w:t>
            </w:r>
          </w:p>
          <w:p w14:paraId="70FAB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环保迎检、应急处置经费；</w:t>
            </w:r>
          </w:p>
          <w:p w14:paraId="2693E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4、节能环保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宣传费用。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20D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已完成</w:t>
            </w:r>
          </w:p>
        </w:tc>
      </w:tr>
      <w:tr w14:paraId="1295D6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CB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0C2D2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41681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1D464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83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CB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31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D9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17B8C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00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47770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17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60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1B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2E0BB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A71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A5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2A8A0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B5F2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EB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AB1B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办理生态环境类执法案件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40B1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4922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E2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B7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7F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6790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40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8CB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DC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9AD6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各种整治符合环保标准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0874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9E2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1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31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6D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7F12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EAE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007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88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AA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按时完成各项指标任务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58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2023年12月31日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74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2023年12月31日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C6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6F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35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2EBB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BD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D4F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2D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24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支出控制在预算内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9D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A7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45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82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9C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DB8F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88A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75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16485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52B89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5CFF0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C3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05305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13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实现节能减排，减少环保治理经费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6D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F1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平稳发展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33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EF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16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05D1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DBD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C60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7C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46512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3C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改善居民生产、生活环境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CE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D1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90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B4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A2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9D29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EFF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FA5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06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21301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0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城区空气质量优良率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72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7B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77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33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09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A9508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B6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88F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C7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3616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本区的环境质量得到持续改善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0B937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持续改善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ED73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持续改善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94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D6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A7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C910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D3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A8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61340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25FD8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AD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1F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君山区全体人民群众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8C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DEDA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default" w:ascii="Arial" w:hAnsi="Arial" w:eastAsia="宋体" w:cs="Arial"/>
                <w:color w:val="000000"/>
                <w:sz w:val="20"/>
              </w:rPr>
              <w:t>≥</w:t>
            </w:r>
            <w:r>
              <w:rPr>
                <w:rFonts w:hint="eastAsia" w:ascii="Arial" w:eastAsia="宋体"/>
                <w:color w:val="000000"/>
                <w:sz w:val="20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AA98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D85D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1F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C83B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AA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2F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7D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DA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27159AD6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522BB61D"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7B83FB4A"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 w14:paraId="04347213"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3427672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年度岳阳市生态环境局君山分局</w:t>
      </w:r>
    </w:p>
    <w:p w14:paraId="2222D1A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7E2034B5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68C91475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5A8D0932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75F665F2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6B6E228E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25B408E2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0E7ED9B5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441977DE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D0F677E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6F0C5647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53CCB300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586932D8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4403440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2F76E59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117E1F22"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部门（单位）名称：岳阳市生态环境局君山分局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（盖章）</w:t>
      </w:r>
    </w:p>
    <w:p w14:paraId="64D87D23"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  月  日</w:t>
      </w:r>
    </w:p>
    <w:p w14:paraId="4977CCB4"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 w14:paraId="0277355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年度岳阳市生态环境局君山分局</w:t>
      </w:r>
    </w:p>
    <w:p w14:paraId="5B96962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4F0344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69B2ACA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 w14:paraId="38CA32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（一）职能职责</w:t>
      </w:r>
    </w:p>
    <w:p w14:paraId="01DC77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1、受市生态环境局委托，承担辖区内的生态环境相关工作；承担市生态环境局和区管委会交办的其他任务。</w:t>
      </w:r>
    </w:p>
    <w:p w14:paraId="0523D0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2、负责本辖区内重点污染源在线监控系统现场监督管理；负责受理和办理生态环境保护举报（信访），负责生态环境信访维稳事件的现场调查处置工作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负责本辖区生态环境质量监测、执法监测、污染源监测和应急监测；负责辖区内生态文明示范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创建。</w:t>
      </w:r>
    </w:p>
    <w:p w14:paraId="4CC9EA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（二）机构设置</w:t>
      </w:r>
    </w:p>
    <w:p w14:paraId="49747D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君山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态</w:t>
      </w:r>
      <w:r>
        <w:rPr>
          <w:rFonts w:hint="eastAsia" w:ascii="仿宋_GB2312" w:hAnsi="仿宋_GB2312" w:eastAsia="仿宋_GB2312" w:cs="仿宋_GB2312"/>
          <w:sz w:val="32"/>
          <w:szCs w:val="32"/>
        </w:rPr>
        <w:t>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境</w:t>
      </w:r>
      <w:r>
        <w:rPr>
          <w:rFonts w:hint="eastAsia" w:ascii="仿宋_GB2312" w:hAnsi="仿宋_GB2312" w:eastAsia="仿宋_GB2312" w:cs="仿宋_GB2312"/>
          <w:sz w:val="32"/>
          <w:szCs w:val="32"/>
        </w:rPr>
        <w:t>分局属岳阳市生态环境局二级机构。根据分局的整体情况，分局下设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个股室（办公室、监察大队、管理股、法制股）。分局目前在编人员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本科及以上学历占90%以上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09CD9F4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 w14:paraId="0191D8A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 w14:paraId="666F93A2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我分局202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基本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202.37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万元，其中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人员经费168.73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公用经费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33.64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万元。</w:t>
      </w:r>
    </w:p>
    <w:p w14:paraId="0BEF270E">
      <w:pPr>
        <w:pStyle w:val="6"/>
        <w:widowControl/>
        <w:wordWrap w:val="0"/>
        <w:snapToGrid w:val="0"/>
        <w:spacing w:before="150" w:after="150" w:line="620" w:lineRule="exact"/>
        <w:ind w:firstLine="640" w:firstLineChars="200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三公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合计4.57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公务接待费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3.88万元与上年度基本持平，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实现了</w:t>
      </w:r>
      <w:r>
        <w:rPr>
          <w:rFonts w:hint="eastAsia" w:ascii="仿宋_GB2312" w:hAnsi="仿宋_GB2312" w:eastAsia="仿宋_GB2312" w:cs="仿宋_GB2312"/>
          <w:sz w:val="32"/>
          <w:szCs w:val="32"/>
        </w:rPr>
        <w:t>厉行节约的宗旨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公务用车购置费0万元；因公出国费0万元。</w:t>
      </w:r>
    </w:p>
    <w:p w14:paraId="7C09B733">
      <w:pPr>
        <w:pStyle w:val="1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 w14:paraId="759D66B7">
      <w:pPr>
        <w:widowControl/>
        <w:spacing w:line="600" w:lineRule="exact"/>
        <w:ind w:firstLine="640" w:firstLineChars="200"/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  <w:t>2023年项目支出年初预算数为2.00万元，决算实际支出数为50.77万元。主要用于业务工作经费、办案费支出、环境监测、监控及监察能力建设、环境监察监测等运行经费等方面。</w:t>
      </w:r>
    </w:p>
    <w:p w14:paraId="4008C752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三、政府性基金预算支出情况</w:t>
      </w:r>
    </w:p>
    <w:p w14:paraId="5737BC82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年本单位没有使用政府性基金预算安排的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3C82105">
      <w:pPr>
        <w:pStyle w:val="10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 w14:paraId="465BED97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国有资本经营预算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5EFB64B">
      <w:pPr>
        <w:pStyle w:val="10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 w14:paraId="6E12C66B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社会保险基金预算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33444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 w14:paraId="0E954E27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 xml:space="preserve">（一）部门资金情况分析 </w:t>
      </w:r>
    </w:p>
    <w:p w14:paraId="5245074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我局2023年预算资金总额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1266.70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万元，专项经费实行专款专用，严格按照相关规定支付，资金支付合规合法，资金使用率100%。</w:t>
      </w:r>
    </w:p>
    <w:p w14:paraId="6E1A5B38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（二）项目绩效指标完成情况分析</w:t>
      </w:r>
    </w:p>
    <w:p w14:paraId="0587A3B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 xml:space="preserve">1.履职效能情况分析 </w:t>
      </w:r>
    </w:p>
    <w:p w14:paraId="1B5F1B9D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2023年以来，我区三个主要断面均达到目标水质，在全市“碧水攻坚战”考核通报中，我区水质综合指数（CWQI）排名全市第二；水质综合变化指数(△CWQI)排名全市第三；在水质保证金奖惩工作中，我区是全市唯一一个未被扣缴水质保障金的县市区。2023年1-11月，我区空气质量优良率为86.4%，排名城区第二；主要污染物PM2.5浓度为39μg/m3，同比下降3μg/m3；PM10浓度为55μg/m3，各项污染物指标基本达到了考核要求。2023年以来，规模化畜禽养殖粪污利用率、受污染耕地安全利用率、医疗废物安全无害化处置率及一般工业固体废物综合利用率均为100%，未发生较大及以上土壤污染事件，土壤环境质量总体平稳。</w:t>
      </w:r>
    </w:p>
    <w:p w14:paraId="3F468F9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2.管理效率情况分析</w:t>
      </w:r>
    </w:p>
    <w:p w14:paraId="512B299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预算编制完整，专项资金细化率、预算执行率达到标准，预算调整率偏高，主要原因是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节能环保支出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 xml:space="preserve">。收入支出管理规范，内控制度有效，资产管理规范，部门固定资产利用率符合目标，信息化建设和管理制度建设有效。 </w:t>
      </w:r>
    </w:p>
    <w:p w14:paraId="2B9AACFD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 xml:space="preserve">3.运行成本控制情况分析 </w:t>
      </w:r>
    </w:p>
    <w:p w14:paraId="6057102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“三公经费”、公用经费均控制在预算范围内，项目支出有所超出预算，原因在于本年度县区财政项目经费增多。</w:t>
      </w:r>
    </w:p>
    <w:p w14:paraId="5BB35754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4.服务满意度指标完成情况分析</w:t>
      </w:r>
    </w:p>
    <w:p w14:paraId="03A0AAF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全面实行重大环境信访案件集体研究，着力解决群众关注重点问题，2023年共处理信访投诉70件，及时答复率100%。</w:t>
      </w:r>
    </w:p>
    <w:p w14:paraId="4E85EAE1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5.可持续性影响情况分析</w:t>
      </w:r>
    </w:p>
    <w:p w14:paraId="59433CDD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区委、区政府高度重视环保领域工作，始终坚持把生态文明建设和生态环境保护摆在重要位置，坚定不移走生态优先、绿色发展之路。区委常委会、区政府常务会先后8次对生态环保领域相关工作进行专题学习、研究和部署；区委理论学习中心组3次把践行“两山”理论、碳达峰碳中和、碳经济纳入学习内容，着力提升领导干部环保意识和理念；区委、区政府坚决扛牢“守护好一江碧水”首倡地的政治责任，开展了“4·25”五周年系列纪念活动，并在首个全国生态日筹办了“绿水青山·大美君山”生态主题大型宣传活动，引导人们增强生态文明建设的思想自觉和行动自觉，积极参与生态环境保护和建设事业；区委、区政府主要负责人多次深入现场调研督导全区环境问题整改，全面压实整改责任，形成了生态环境保护工作合力。</w:t>
      </w:r>
    </w:p>
    <w:p w14:paraId="1E986C4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 w14:paraId="56CE5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存在问题个别项目资金使用方面预算与实际存在差异。问题产生的主要原因</w:t>
      </w:r>
      <w:r>
        <w:rPr>
          <w:rFonts w:hint="eastAsia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绩效管理水平有待提高，特别是绩效指标设置的科学性、合理性有待进一步改善。</w:t>
      </w:r>
    </w:p>
    <w:p w14:paraId="6A8B1162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 w14:paraId="09E3B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加强财务管理，严格财务审批。在费用报账支付时，按照预算规定的费用项目和用途进行资金使用、审核，列报支付，财务核算杜绝超支现象的发生。</w:t>
      </w:r>
    </w:p>
    <w:p w14:paraId="275E9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加强培训。建议多开展部门整体绩效评价工作的业务工作培训，组织开展部门之间、单位之间的经验交流，特别是要组织非财务部门的人员参与评价工作，切实推进绩效评价工作的开展。</w:t>
      </w:r>
    </w:p>
    <w:p w14:paraId="3B827874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部门整体支出绩效自评结果拟应用和公开情况</w:t>
      </w:r>
    </w:p>
    <w:p w14:paraId="23FC1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本单位高度重视预算支出绩效自评工作，积极落实主体责任，成立预算绩效管理领导小组，加强组织领导，按照绩效管理工作方案和绩效评价相关制度规定，认真开展自评，确保绩效自评工作顺利实施，并按照要求进行信息公开，对存在的问题积极整改。</w:t>
      </w:r>
    </w:p>
    <w:p w14:paraId="602963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  <w:t>十、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 w14:paraId="37AC445E">
      <w:pPr>
        <w:pStyle w:val="2"/>
        <w:ind w:firstLine="640" w:firstLineChars="200"/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 w:bidi="ar-SA"/>
        </w:rPr>
        <w:t>无</w:t>
      </w:r>
    </w:p>
    <w:p w14:paraId="3FC580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 w:bidi="ar-SA"/>
        </w:rPr>
      </w:pPr>
    </w:p>
    <w:p w14:paraId="3FB5A4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报告需要以下附件：</w:t>
      </w:r>
    </w:p>
    <w:p w14:paraId="3C1F46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部门整体支出绩效评价基础数据表</w:t>
      </w:r>
    </w:p>
    <w:p w14:paraId="21D0F4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部门整体支出绩效自评表</w:t>
      </w:r>
    </w:p>
    <w:p w14:paraId="7E32B3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项目支出绩效自评表（一个一级项目支出一张表）</w:t>
      </w:r>
    </w:p>
    <w:p w14:paraId="43375B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政府性基金预算支出情况表</w:t>
      </w:r>
    </w:p>
    <w:p w14:paraId="10081B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国有资本经营预算支出情况表</w:t>
      </w:r>
    </w:p>
    <w:p w14:paraId="000A19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社会保险基金预算支出情况表</w:t>
      </w:r>
    </w:p>
    <w:p w14:paraId="5CCC9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71AFF4"/>
    <w:multiLevelType w:val="singleLevel"/>
    <w:tmpl w:val="D471AFF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6961419"/>
    <w:multiLevelType w:val="singleLevel"/>
    <w:tmpl w:val="D696141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B9CB6EC"/>
    <w:multiLevelType w:val="singleLevel"/>
    <w:tmpl w:val="0B9CB6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8C5804B"/>
    <w:multiLevelType w:val="singleLevel"/>
    <w:tmpl w:val="28C5804B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C541453"/>
    <w:multiLevelType w:val="singleLevel"/>
    <w:tmpl w:val="7C54145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hM2RiODNhYzYwODk5ZTg2MTVmODIyMGIzNjA1OGYifQ=="/>
  </w:docVars>
  <w:rsids>
    <w:rsidRoot w:val="59886344"/>
    <w:rsid w:val="02B3536B"/>
    <w:rsid w:val="03906A9D"/>
    <w:rsid w:val="04AF5B15"/>
    <w:rsid w:val="05BC4D2C"/>
    <w:rsid w:val="062E1DC0"/>
    <w:rsid w:val="085207C5"/>
    <w:rsid w:val="0A5922DF"/>
    <w:rsid w:val="0B575DFD"/>
    <w:rsid w:val="0C177D5B"/>
    <w:rsid w:val="0C9F5F62"/>
    <w:rsid w:val="0D8F7523"/>
    <w:rsid w:val="0FB93992"/>
    <w:rsid w:val="10274C2E"/>
    <w:rsid w:val="107F04D7"/>
    <w:rsid w:val="12083B55"/>
    <w:rsid w:val="14092680"/>
    <w:rsid w:val="157F52EF"/>
    <w:rsid w:val="15F31839"/>
    <w:rsid w:val="175D340E"/>
    <w:rsid w:val="176C7BC4"/>
    <w:rsid w:val="17B635A4"/>
    <w:rsid w:val="1CBC3BF4"/>
    <w:rsid w:val="1F06438B"/>
    <w:rsid w:val="1F413203"/>
    <w:rsid w:val="242C3BC7"/>
    <w:rsid w:val="256B2DF1"/>
    <w:rsid w:val="25DD6BD2"/>
    <w:rsid w:val="27BB437C"/>
    <w:rsid w:val="28ED26BA"/>
    <w:rsid w:val="28F05023"/>
    <w:rsid w:val="2937299B"/>
    <w:rsid w:val="2E900890"/>
    <w:rsid w:val="2ECB4CA9"/>
    <w:rsid w:val="30B5176D"/>
    <w:rsid w:val="320F75A3"/>
    <w:rsid w:val="32E15811"/>
    <w:rsid w:val="34D716E8"/>
    <w:rsid w:val="35521C81"/>
    <w:rsid w:val="3671332B"/>
    <w:rsid w:val="36CD315B"/>
    <w:rsid w:val="374359F5"/>
    <w:rsid w:val="381866B2"/>
    <w:rsid w:val="38FA68B7"/>
    <w:rsid w:val="396D6ECE"/>
    <w:rsid w:val="3A3D1E2F"/>
    <w:rsid w:val="3AF83CC4"/>
    <w:rsid w:val="3B983D25"/>
    <w:rsid w:val="3BA10975"/>
    <w:rsid w:val="3E466385"/>
    <w:rsid w:val="3E962DA7"/>
    <w:rsid w:val="3EE16A15"/>
    <w:rsid w:val="40E340D5"/>
    <w:rsid w:val="41FE7878"/>
    <w:rsid w:val="422F4422"/>
    <w:rsid w:val="433E1A96"/>
    <w:rsid w:val="44D212C3"/>
    <w:rsid w:val="465B01B9"/>
    <w:rsid w:val="49C017D1"/>
    <w:rsid w:val="49DB676B"/>
    <w:rsid w:val="4D5657A6"/>
    <w:rsid w:val="4DC4528E"/>
    <w:rsid w:val="4F5A491C"/>
    <w:rsid w:val="4FF74449"/>
    <w:rsid w:val="50992BDB"/>
    <w:rsid w:val="50D7196A"/>
    <w:rsid w:val="50E13A61"/>
    <w:rsid w:val="51805883"/>
    <w:rsid w:val="534D72F9"/>
    <w:rsid w:val="540D56D8"/>
    <w:rsid w:val="542C5C61"/>
    <w:rsid w:val="55164621"/>
    <w:rsid w:val="55715C3B"/>
    <w:rsid w:val="55A26C31"/>
    <w:rsid w:val="571526B6"/>
    <w:rsid w:val="585711D8"/>
    <w:rsid w:val="586D5502"/>
    <w:rsid w:val="5886386C"/>
    <w:rsid w:val="59886344"/>
    <w:rsid w:val="5B9938B6"/>
    <w:rsid w:val="5BF60D08"/>
    <w:rsid w:val="5FBE7D8F"/>
    <w:rsid w:val="60B91957"/>
    <w:rsid w:val="61F21F72"/>
    <w:rsid w:val="62261C1B"/>
    <w:rsid w:val="63807109"/>
    <w:rsid w:val="640A65E4"/>
    <w:rsid w:val="65735178"/>
    <w:rsid w:val="67346B89"/>
    <w:rsid w:val="67EE3325"/>
    <w:rsid w:val="692549DB"/>
    <w:rsid w:val="6ADE12E5"/>
    <w:rsid w:val="6D062D75"/>
    <w:rsid w:val="6FFF6D03"/>
    <w:rsid w:val="70826EAE"/>
    <w:rsid w:val="71DD22F7"/>
    <w:rsid w:val="72795E7F"/>
    <w:rsid w:val="7420296E"/>
    <w:rsid w:val="74980757"/>
    <w:rsid w:val="768A032C"/>
    <w:rsid w:val="77505319"/>
    <w:rsid w:val="787B63C5"/>
    <w:rsid w:val="7BA7012C"/>
    <w:rsid w:val="7C0D37D8"/>
    <w:rsid w:val="7EF82E56"/>
    <w:rsid w:val="7F736048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toc 5"/>
    <w:basedOn w:val="1"/>
    <w:next w:val="1"/>
    <w:autoRedefine/>
    <w:qFormat/>
    <w:uiPriority w:val="0"/>
    <w:pPr>
      <w:ind w:left="1680" w:leftChars="800"/>
    </w:p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仿宋" w:hAnsi="仿宋" w:eastAsia="宋体" w:cs="Times New Roman"/>
      <w:kern w:val="0"/>
      <w:sz w:val="18"/>
      <w:szCs w:val="24"/>
      <w:lang w:val="en-US" w:eastAsia="zh-CN" w:bidi="ar-SA"/>
    </w:rPr>
  </w:style>
  <w:style w:type="paragraph" w:styleId="5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仿宋" w:hAnsi="仿宋" w:eastAsia="宋体" w:cs="Times New Roman"/>
      <w:kern w:val="0"/>
      <w:sz w:val="18"/>
      <w:szCs w:val="24"/>
      <w:lang w:val="en-US" w:eastAsia="zh-CN" w:bidi="ar-SA"/>
    </w:rPr>
  </w:style>
  <w:style w:type="paragraph" w:styleId="6">
    <w:name w:val="Normal (Web)"/>
    <w:autoRedefine/>
    <w:qFormat/>
    <w:uiPriority w:val="99"/>
    <w:pPr>
      <w:widowControl w:val="0"/>
      <w:spacing w:line="432" w:lineRule="auto"/>
      <w:jc w:val="left"/>
    </w:pPr>
    <w:rPr>
      <w:rFonts w:ascii="仿宋" w:hAnsi="仿宋" w:eastAsia="宋体" w:cs="Times New Roman"/>
      <w:kern w:val="0"/>
      <w:sz w:val="24"/>
      <w:szCs w:val="24"/>
      <w:lang w:val="en-US" w:eastAsia="zh-CN" w:bidi="ar-SA"/>
    </w:rPr>
  </w:style>
  <w:style w:type="paragraph" w:customStyle="1" w:styleId="9">
    <w:name w:val="列出段落1"/>
    <w:basedOn w:val="1"/>
    <w:autoRedefine/>
    <w:qFormat/>
    <w:uiPriority w:val="34"/>
    <w:pPr>
      <w:ind w:firstLine="420" w:firstLineChars="200"/>
    </w:p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5116</Words>
  <Characters>5734</Characters>
  <Lines>0</Lines>
  <Paragraphs>0</Paragraphs>
  <TotalTime>1</TotalTime>
  <ScaleCrop>false</ScaleCrop>
  <LinksUpToDate>false</LinksUpToDate>
  <CharactersWithSpaces>6024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WPS_1620983152</cp:lastModifiedBy>
  <dcterms:modified xsi:type="dcterms:W3CDTF">2024-09-24T01:59:42Z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0FED9682FE13436AAAAFCE0012698B4D_13</vt:lpwstr>
  </property>
</Properties>
</file>