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A056E">
      <w:pPr>
        <w:pStyle w:val="14"/>
        <w:jc w:val="center"/>
        <w:rPr>
          <w:sz w:val="56"/>
          <w:szCs w:val="56"/>
        </w:rPr>
      </w:pPr>
    </w:p>
    <w:p w14:paraId="3CDD4B55">
      <w:pPr>
        <w:pStyle w:val="14"/>
        <w:jc w:val="center"/>
        <w:rPr>
          <w:sz w:val="56"/>
          <w:szCs w:val="56"/>
        </w:rPr>
      </w:pPr>
    </w:p>
    <w:p w14:paraId="224143B2">
      <w:pPr>
        <w:pStyle w:val="14"/>
        <w:jc w:val="center"/>
        <w:rPr>
          <w:sz w:val="84"/>
          <w:szCs w:val="84"/>
        </w:rPr>
      </w:pPr>
    </w:p>
    <w:p w14:paraId="32817410">
      <w:pPr>
        <w:pStyle w:val="14"/>
        <w:jc w:val="center"/>
        <w:rPr>
          <w:sz w:val="84"/>
          <w:szCs w:val="84"/>
        </w:rPr>
      </w:pPr>
    </w:p>
    <w:p w14:paraId="0800F9DC">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9DB093">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岳阳市生态环境局君山分局单位决算</w:t>
      </w:r>
    </w:p>
    <w:p w14:paraId="7C497A0D">
      <w:pPr>
        <w:pStyle w:val="14"/>
        <w:jc w:val="center"/>
        <w:rPr>
          <w:rFonts w:hint="eastAsia" w:ascii="方正小标宋_GBK" w:hAnsi="方正小标宋_GBK" w:eastAsia="方正小标宋_GBK" w:cs="方正小标宋_GBK"/>
          <w:sz w:val="56"/>
          <w:szCs w:val="56"/>
        </w:rPr>
      </w:pPr>
    </w:p>
    <w:p w14:paraId="6E25A155">
      <w:pPr>
        <w:pStyle w:val="14"/>
        <w:jc w:val="center"/>
        <w:rPr>
          <w:sz w:val="56"/>
          <w:szCs w:val="56"/>
        </w:rPr>
      </w:pPr>
    </w:p>
    <w:p w14:paraId="28FB81FC">
      <w:pPr>
        <w:pStyle w:val="14"/>
        <w:jc w:val="center"/>
        <w:rPr>
          <w:sz w:val="56"/>
          <w:szCs w:val="56"/>
        </w:rPr>
      </w:pPr>
    </w:p>
    <w:p w14:paraId="7CC8CED0">
      <w:pPr>
        <w:pStyle w:val="14"/>
        <w:jc w:val="center"/>
        <w:rPr>
          <w:sz w:val="56"/>
          <w:szCs w:val="56"/>
        </w:rPr>
      </w:pPr>
    </w:p>
    <w:p w14:paraId="5AC24AF8">
      <w:pPr>
        <w:pStyle w:val="14"/>
        <w:jc w:val="center"/>
        <w:rPr>
          <w:sz w:val="32"/>
          <w:szCs w:val="32"/>
        </w:rPr>
      </w:pPr>
    </w:p>
    <w:p w14:paraId="32F0A61D">
      <w:pPr>
        <w:pStyle w:val="14"/>
        <w:jc w:val="center"/>
        <w:rPr>
          <w:sz w:val="32"/>
          <w:szCs w:val="32"/>
        </w:rPr>
      </w:pPr>
    </w:p>
    <w:p w14:paraId="5F8F7F52">
      <w:pPr>
        <w:pStyle w:val="14"/>
        <w:spacing w:line="540" w:lineRule="exact"/>
        <w:jc w:val="both"/>
        <w:rPr>
          <w:sz w:val="56"/>
          <w:szCs w:val="56"/>
        </w:rPr>
      </w:pPr>
    </w:p>
    <w:p w14:paraId="4555D34D">
      <w:pPr>
        <w:pStyle w:val="14"/>
        <w:spacing w:line="500" w:lineRule="exact"/>
        <w:jc w:val="both"/>
        <w:rPr>
          <w:b/>
          <w:sz w:val="36"/>
          <w:szCs w:val="28"/>
        </w:rPr>
      </w:pPr>
    </w:p>
    <w:p w14:paraId="3FCF2B54">
      <w:pPr>
        <w:pStyle w:val="14"/>
        <w:spacing w:line="500" w:lineRule="exact"/>
        <w:jc w:val="center"/>
        <w:rPr>
          <w:b/>
          <w:sz w:val="36"/>
          <w:szCs w:val="28"/>
        </w:rPr>
      </w:pPr>
      <w:r>
        <w:rPr>
          <w:rFonts w:hint="eastAsia"/>
          <w:b/>
          <w:sz w:val="36"/>
          <w:szCs w:val="28"/>
        </w:rPr>
        <w:t>目录</w:t>
      </w:r>
    </w:p>
    <w:p w14:paraId="63C9F7A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岳阳市生态环境局君山分局单位概况</w:t>
      </w:r>
    </w:p>
    <w:p w14:paraId="105CCDB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F604C60">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5E4D13A4">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1893C39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2D5EB3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9E12B4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90B640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6278497">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0A7A07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5A748D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3AB37E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747B5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4E6AED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72891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E521E5">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99A4D0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66EB4B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99510B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F15223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467A67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1635C1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5383BF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4E37B7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439B2FA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AE6803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A34734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95D344">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EA2D991">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0EC909F">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D6D5315">
      <w:pPr>
        <w:pStyle w:val="14"/>
        <w:jc w:val="center"/>
        <w:rPr>
          <w:rFonts w:hint="eastAsia" w:ascii="方正小标宋_GBK" w:hAnsi="方正小标宋_GBK" w:eastAsia="方正小标宋_GBK" w:cs="方正小标宋_GBK"/>
          <w:sz w:val="84"/>
          <w:szCs w:val="84"/>
        </w:rPr>
      </w:pPr>
    </w:p>
    <w:p w14:paraId="54BE667F">
      <w:pPr>
        <w:pStyle w:val="14"/>
        <w:jc w:val="center"/>
        <w:rPr>
          <w:rFonts w:hint="eastAsia" w:ascii="方正小标宋_GBK" w:hAnsi="方正小标宋_GBK" w:eastAsia="方正小标宋_GBK" w:cs="方正小标宋_GBK"/>
          <w:sz w:val="84"/>
          <w:szCs w:val="84"/>
        </w:rPr>
      </w:pPr>
    </w:p>
    <w:p w14:paraId="34B94DC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8DF8D97">
      <w:pPr>
        <w:pStyle w:val="14"/>
        <w:jc w:val="center"/>
        <w:rPr>
          <w:rFonts w:hint="eastAsia" w:ascii="方正小标宋_GBK" w:hAnsi="方正小标宋_GBK" w:eastAsia="方正小标宋_GBK" w:cs="方正小标宋_GBK"/>
          <w:sz w:val="84"/>
          <w:szCs w:val="84"/>
        </w:rPr>
      </w:pPr>
    </w:p>
    <w:p w14:paraId="4BD89AD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岳阳市生态环境局君山分局单位概况</w:t>
      </w:r>
    </w:p>
    <w:p w14:paraId="5ED0951B">
      <w:pPr>
        <w:pStyle w:val="9"/>
        <w:rPr>
          <w:rFonts w:hint="eastAsia" w:ascii="方正小标宋_GBK" w:hAnsi="方正小标宋_GBK" w:eastAsia="方正小标宋_GBK" w:cs="方正小标宋_GBK"/>
          <w:sz w:val="84"/>
          <w:szCs w:val="84"/>
        </w:rPr>
      </w:pPr>
    </w:p>
    <w:p w14:paraId="50F717CA">
      <w:pPr>
        <w:pStyle w:val="5"/>
        <w:rPr>
          <w:rFonts w:hint="eastAsia" w:ascii="方正小标宋_GBK" w:hAnsi="方正小标宋_GBK" w:eastAsia="方正小标宋_GBK" w:cs="方正小标宋_GBK"/>
          <w:sz w:val="84"/>
          <w:szCs w:val="84"/>
        </w:rPr>
      </w:pPr>
    </w:p>
    <w:p w14:paraId="792D4B41">
      <w:pPr>
        <w:pStyle w:val="5"/>
        <w:ind w:left="0" w:leftChars="0" w:firstLine="0" w:firstLineChars="0"/>
        <w:rPr>
          <w:rFonts w:hint="eastAsia" w:ascii="方正小标宋_GBK" w:hAnsi="方正小标宋_GBK" w:eastAsia="方正小标宋_GBK" w:cs="方正小标宋_GBK"/>
          <w:sz w:val="84"/>
          <w:szCs w:val="84"/>
        </w:rPr>
      </w:pPr>
    </w:p>
    <w:p w14:paraId="263208D2">
      <w:pPr>
        <w:rPr>
          <w:rFonts w:hint="eastAsia"/>
        </w:rPr>
      </w:pPr>
    </w:p>
    <w:p w14:paraId="42B2909E">
      <w:pPr>
        <w:pStyle w:val="9"/>
        <w:rPr>
          <w:rFonts w:hint="eastAsia"/>
        </w:rPr>
      </w:pPr>
    </w:p>
    <w:p w14:paraId="66875057">
      <w:pPr>
        <w:pStyle w:val="5"/>
        <w:rPr>
          <w:rFonts w:hint="eastAsia"/>
        </w:rPr>
      </w:pPr>
    </w:p>
    <w:p w14:paraId="5B8CFFC7">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A89A3B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rPr>
        <w:t>负责辖区内环境规划、环境管理、环境宣传教育、环境监察等工作</w:t>
      </w:r>
      <w:r>
        <w:rPr>
          <w:rFonts w:hint="eastAsia" w:ascii="Times New Roman" w:hAnsi="Times New Roman" w:eastAsia="仿宋_GB2312" w:cs="仿宋_GB2312"/>
          <w:bCs/>
          <w:kern w:val="0"/>
          <w:sz w:val="32"/>
          <w:szCs w:val="32"/>
          <w:lang w:eastAsia="zh-CN"/>
        </w:rPr>
        <w:t>，会同有关部门编制并监督实施重点区域、流域、饮用水水源地保护等生态环境规划和水、大气环境、声环境功能区划。</w:t>
      </w:r>
    </w:p>
    <w:p w14:paraId="274BAF0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（二）负责</w:t>
      </w:r>
      <w:r>
        <w:rPr>
          <w:rFonts w:hint="eastAsia" w:ascii="Times New Roman" w:hAnsi="Times New Roman" w:eastAsia="仿宋_GB2312" w:cs="仿宋_GB2312"/>
          <w:bCs/>
          <w:kern w:val="0"/>
          <w:sz w:val="32"/>
          <w:szCs w:val="32"/>
          <w:lang w:val="en-US" w:eastAsia="zh-CN"/>
        </w:rPr>
        <w:t>君山区</w:t>
      </w:r>
      <w:r>
        <w:rPr>
          <w:rFonts w:hint="eastAsia" w:ascii="Times New Roman" w:hAnsi="Times New Roman" w:eastAsia="仿宋_GB2312" w:cs="仿宋_GB2312"/>
          <w:bCs/>
          <w:kern w:val="0"/>
          <w:sz w:val="32"/>
          <w:szCs w:val="32"/>
          <w:lang w:eastAsia="zh-CN"/>
        </w:rPr>
        <w:t>生态环境问题的统筹协调和监督管理。</w:t>
      </w:r>
    </w:p>
    <w:p w14:paraId="60BCDB7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（三）负责落实减排目标。</w:t>
      </w:r>
    </w:p>
    <w:p w14:paraId="1236C19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lang w:eastAsia="zh-CN"/>
        </w:rPr>
        <w:t>）负责环境污染防治的监督管理。</w:t>
      </w:r>
    </w:p>
    <w:p w14:paraId="3AB56FC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lang w:eastAsia="zh-CN"/>
        </w:rPr>
        <w:t>）指导协调和监督生态保护修复工作。</w:t>
      </w:r>
    </w:p>
    <w:p w14:paraId="0D1B668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bCs/>
          <w:kern w:val="0"/>
          <w:sz w:val="32"/>
          <w:szCs w:val="32"/>
          <w:lang w:eastAsia="zh-CN"/>
        </w:rPr>
        <w:t>）负责核与辐射安全的监督管理。</w:t>
      </w:r>
    </w:p>
    <w:p w14:paraId="1ECFD7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bCs/>
          <w:kern w:val="0"/>
          <w:sz w:val="32"/>
          <w:szCs w:val="32"/>
          <w:lang w:eastAsia="zh-CN"/>
        </w:rPr>
        <w:t>）负责生态环境准入的监督管理。</w:t>
      </w:r>
    </w:p>
    <w:p w14:paraId="14E410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八</w:t>
      </w:r>
      <w:r>
        <w:rPr>
          <w:rFonts w:hint="eastAsia" w:ascii="Times New Roman" w:hAnsi="Times New Roman" w:eastAsia="仿宋_GB2312" w:cs="仿宋_GB2312"/>
          <w:bCs/>
          <w:kern w:val="0"/>
          <w:sz w:val="32"/>
          <w:szCs w:val="32"/>
          <w:lang w:eastAsia="zh-CN"/>
        </w:rPr>
        <w:t>）负责重点污染源监测工作。</w:t>
      </w:r>
    </w:p>
    <w:p w14:paraId="0534EA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九</w:t>
      </w:r>
      <w:r>
        <w:rPr>
          <w:rFonts w:hint="eastAsia" w:ascii="Times New Roman" w:hAnsi="Times New Roman" w:eastAsia="仿宋_GB2312" w:cs="仿宋_GB2312"/>
          <w:bCs/>
          <w:kern w:val="0"/>
          <w:sz w:val="32"/>
          <w:szCs w:val="32"/>
          <w:lang w:eastAsia="zh-CN"/>
        </w:rPr>
        <w:t>）负责应对气候变化工作。</w:t>
      </w:r>
    </w:p>
    <w:p w14:paraId="1ACD233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（十）配合开展生态环境保护督察工作。</w:t>
      </w:r>
    </w:p>
    <w:p w14:paraId="092F524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（十一）统一监督生态环境执法工作。</w:t>
      </w:r>
    </w:p>
    <w:p w14:paraId="2CE8367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（十二）组织指导和协调生态环境宣传教育工作，贯彻实施生态环境保护宣传教育纲要，推动社会组织和公众参与生态环境保护。</w:t>
      </w:r>
    </w:p>
    <w:p w14:paraId="6B7928B6">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（十三）完成</w:t>
      </w:r>
      <w:r>
        <w:rPr>
          <w:rFonts w:hint="eastAsia" w:ascii="Times New Roman" w:hAnsi="Times New Roman" w:eastAsia="仿宋_GB2312" w:cs="仿宋_GB2312"/>
          <w:bCs/>
          <w:kern w:val="0"/>
          <w:sz w:val="32"/>
          <w:szCs w:val="32"/>
          <w:lang w:val="en-US" w:eastAsia="zh-CN"/>
        </w:rPr>
        <w:t>市生态环境局</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区委、区政府</w:t>
      </w:r>
      <w:r>
        <w:rPr>
          <w:rFonts w:hint="eastAsia" w:ascii="Times New Roman" w:hAnsi="Times New Roman" w:eastAsia="仿宋_GB2312" w:cs="仿宋_GB2312"/>
          <w:bCs/>
          <w:kern w:val="0"/>
          <w:sz w:val="32"/>
          <w:szCs w:val="32"/>
          <w:lang w:eastAsia="zh-CN"/>
        </w:rPr>
        <w:t>交办的其他事项。</w:t>
      </w:r>
    </w:p>
    <w:p w14:paraId="2FF9F68D">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3E65AE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岳阳市生态环境局君山分局属于独立编制，核算机构数1个，核定编制数为15人，现在实有编制人员</w:t>
      </w:r>
      <w:r>
        <w:rPr>
          <w:rFonts w:hint="eastAsia" w:ascii="Times New Roman" w:hAnsi="Times New Roman" w:eastAsia="仿宋_GB2312" w:cs="仿宋_GB2312"/>
          <w:bCs/>
          <w:kern w:val="0"/>
          <w:sz w:val="32"/>
          <w:szCs w:val="32"/>
          <w:lang w:val="en-US" w:eastAsia="zh-CN"/>
        </w:rPr>
        <w:t>13</w:t>
      </w:r>
      <w:r>
        <w:rPr>
          <w:rFonts w:hint="eastAsia" w:ascii="Times New Roman" w:hAnsi="Times New Roman" w:eastAsia="仿宋_GB2312" w:cs="仿宋_GB2312"/>
          <w:bCs/>
          <w:kern w:val="0"/>
          <w:sz w:val="32"/>
          <w:szCs w:val="32"/>
          <w:lang w:eastAsia="zh-CN"/>
        </w:rPr>
        <w:t>人</w:t>
      </w:r>
      <w:r>
        <w:rPr>
          <w:rFonts w:hint="eastAsia" w:ascii="Times New Roman" w:hAnsi="Times New Roman" w:eastAsia="仿宋_GB2312" w:cs="仿宋_GB2312"/>
          <w:bCs/>
          <w:kern w:val="0"/>
          <w:sz w:val="32"/>
          <w:szCs w:val="32"/>
          <w:lang w:val="en-US" w:eastAsia="zh-CN"/>
        </w:rPr>
        <w:t>，</w:t>
      </w:r>
      <w:r>
        <w:rPr>
          <w:rFonts w:hint="eastAsia" w:ascii="Times New Roman" w:hAnsi="Times New Roman" w:eastAsia="仿宋_GB2312" w:cs="仿宋_GB2312"/>
          <w:bCs/>
          <w:color w:val="auto"/>
          <w:kern w:val="0"/>
          <w:sz w:val="32"/>
          <w:szCs w:val="32"/>
          <w:lang w:val="en-US" w:eastAsia="zh-CN"/>
        </w:rPr>
        <w:t>退休</w:t>
      </w:r>
      <w:r>
        <w:rPr>
          <w:rFonts w:hint="eastAsia" w:ascii="Times New Roman" w:hAnsi="Times New Roman" w:eastAsia="仿宋_GB2312" w:cs="仿宋_GB2312"/>
          <w:bCs/>
          <w:color w:val="auto"/>
          <w:kern w:val="0"/>
          <w:sz w:val="32"/>
          <w:szCs w:val="32"/>
          <w:lang w:eastAsia="zh-CN"/>
        </w:rPr>
        <w:t>人员</w:t>
      </w:r>
      <w:r>
        <w:rPr>
          <w:rFonts w:hint="eastAsia" w:ascii="Times New Roman" w:hAnsi="Times New Roman" w:eastAsia="仿宋_GB2312" w:cs="仿宋_GB2312"/>
          <w:bCs/>
          <w:color w:val="auto"/>
          <w:kern w:val="0"/>
          <w:sz w:val="32"/>
          <w:szCs w:val="32"/>
          <w:lang w:val="en-US" w:eastAsia="zh-CN"/>
        </w:rPr>
        <w:t>3</w:t>
      </w:r>
      <w:r>
        <w:rPr>
          <w:rFonts w:hint="eastAsia" w:ascii="Times New Roman" w:hAnsi="Times New Roman" w:eastAsia="仿宋_GB2312" w:cs="仿宋_GB2312"/>
          <w:bCs/>
          <w:color w:val="auto"/>
          <w:kern w:val="0"/>
          <w:sz w:val="32"/>
          <w:szCs w:val="32"/>
          <w:lang w:eastAsia="zh-CN"/>
        </w:rPr>
        <w:t>人，属于岳阳市生态环境局的派出机构，下设</w:t>
      </w:r>
      <w:r>
        <w:rPr>
          <w:rFonts w:hint="eastAsia" w:ascii="Times New Roman" w:hAnsi="Times New Roman" w:eastAsia="仿宋_GB2312" w:cs="仿宋_GB2312"/>
          <w:bCs/>
          <w:color w:val="auto"/>
          <w:kern w:val="0"/>
          <w:sz w:val="32"/>
          <w:szCs w:val="32"/>
          <w:lang w:val="en-US" w:eastAsia="zh-CN"/>
        </w:rPr>
        <w:t>4个</w:t>
      </w:r>
      <w:r>
        <w:rPr>
          <w:rFonts w:hint="eastAsia" w:ascii="Times New Roman" w:hAnsi="Times New Roman" w:eastAsia="仿宋_GB2312" w:cs="仿宋_GB2312"/>
          <w:bCs/>
          <w:color w:val="auto"/>
          <w:kern w:val="0"/>
          <w:sz w:val="32"/>
          <w:szCs w:val="32"/>
          <w:lang w:eastAsia="zh-CN"/>
        </w:rPr>
        <w:t>股室：办公室、</w:t>
      </w:r>
      <w:r>
        <w:rPr>
          <w:rFonts w:hint="eastAsia" w:ascii="Times New Roman" w:hAnsi="Times New Roman" w:eastAsia="仿宋_GB2312" w:cs="仿宋_GB2312"/>
          <w:bCs/>
          <w:kern w:val="0"/>
          <w:sz w:val="32"/>
          <w:szCs w:val="32"/>
          <w:lang w:eastAsia="zh-CN"/>
        </w:rPr>
        <w:t>管理股、监</w:t>
      </w:r>
      <w:r>
        <w:rPr>
          <w:rFonts w:hint="eastAsia" w:ascii="Times New Roman" w:hAnsi="Times New Roman" w:eastAsia="仿宋_GB2312" w:cs="仿宋_GB2312"/>
          <w:bCs/>
          <w:color w:val="auto"/>
          <w:kern w:val="0"/>
          <w:sz w:val="32"/>
          <w:szCs w:val="32"/>
          <w:lang w:eastAsia="zh-CN"/>
        </w:rPr>
        <w:t>察大队、</w:t>
      </w:r>
      <w:r>
        <w:rPr>
          <w:rFonts w:hint="eastAsia" w:ascii="Times New Roman" w:hAnsi="Times New Roman" w:eastAsia="仿宋_GB2312" w:cs="仿宋_GB2312"/>
          <w:bCs/>
          <w:color w:val="auto"/>
          <w:kern w:val="0"/>
          <w:sz w:val="32"/>
          <w:szCs w:val="32"/>
          <w:lang w:val="en-US" w:eastAsia="zh-CN"/>
        </w:rPr>
        <w:t>党建办</w:t>
      </w:r>
      <w:r>
        <w:rPr>
          <w:rFonts w:hint="eastAsia" w:ascii="Times New Roman" w:hAnsi="Times New Roman" w:eastAsia="仿宋_GB2312" w:cs="仿宋_GB2312"/>
          <w:bCs/>
          <w:kern w:val="0"/>
          <w:sz w:val="32"/>
          <w:szCs w:val="32"/>
          <w:lang w:eastAsia="zh-CN"/>
        </w:rPr>
        <w:t>。</w:t>
      </w:r>
    </w:p>
    <w:p w14:paraId="346649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岳阳市生态环境局君山分局202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lang w:eastAsia="zh-CN"/>
        </w:rPr>
        <w:t>年部门决算汇总公开单位构成包括：岳阳市生态环境局君山分局决算单位仅包括本级，无独立核算的下属单位。</w:t>
      </w:r>
    </w:p>
    <w:p w14:paraId="15A81521">
      <w:pPr>
        <w:pStyle w:val="14"/>
        <w:jc w:val="center"/>
        <w:rPr>
          <w:rFonts w:hint="eastAsia" w:ascii="方正小标宋_GBK" w:hAnsi="方正小标宋_GBK" w:eastAsia="方正小标宋_GBK" w:cs="方正小标宋_GBK"/>
          <w:sz w:val="84"/>
          <w:szCs w:val="84"/>
        </w:rPr>
      </w:pPr>
    </w:p>
    <w:p w14:paraId="12495042">
      <w:pPr>
        <w:pStyle w:val="14"/>
        <w:jc w:val="center"/>
        <w:rPr>
          <w:rFonts w:hint="eastAsia" w:ascii="方正小标宋_GBK" w:hAnsi="方正小标宋_GBK" w:eastAsia="方正小标宋_GBK" w:cs="方正小标宋_GBK"/>
          <w:sz w:val="84"/>
          <w:szCs w:val="84"/>
        </w:rPr>
      </w:pPr>
    </w:p>
    <w:p w14:paraId="151D57A7">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107DB0BA">
      <w:pPr>
        <w:pStyle w:val="14"/>
        <w:jc w:val="center"/>
        <w:rPr>
          <w:rFonts w:hint="eastAsia" w:ascii="方正小标宋_GBK" w:hAnsi="方正小标宋_GBK" w:eastAsia="方正小标宋_GBK" w:cs="方正小标宋_GBK"/>
          <w:sz w:val="84"/>
          <w:szCs w:val="84"/>
        </w:rPr>
      </w:pPr>
    </w:p>
    <w:p w14:paraId="448D266E">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7DC31CA2">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2527EE4A">
      <w:pPr>
        <w:pStyle w:val="14"/>
        <w:jc w:val="center"/>
        <w:rPr>
          <w:rFonts w:hint="eastAsia" w:ascii="仿宋_GB2312" w:hAnsi="仿宋_GB2312" w:eastAsia="仿宋_GB2312" w:cs="仿宋_GB2312"/>
          <w:b w:val="0"/>
          <w:bCs w:val="0"/>
          <w:sz w:val="72"/>
          <w:szCs w:val="72"/>
          <w:lang w:eastAsia="zh-CN"/>
        </w:rPr>
      </w:pPr>
    </w:p>
    <w:p w14:paraId="0398245A">
      <w:pPr>
        <w:pStyle w:val="14"/>
        <w:jc w:val="center"/>
        <w:rPr>
          <w:rFonts w:hint="eastAsia" w:ascii="仿宋_GB2312" w:hAnsi="仿宋_GB2312" w:eastAsia="仿宋_GB2312" w:cs="仿宋_GB2312"/>
          <w:b w:val="0"/>
          <w:bCs w:val="0"/>
          <w:sz w:val="72"/>
          <w:szCs w:val="72"/>
          <w:lang w:eastAsia="zh-CN"/>
        </w:rPr>
      </w:pPr>
    </w:p>
    <w:p w14:paraId="0F8817E6">
      <w:pPr>
        <w:pStyle w:val="14"/>
        <w:jc w:val="center"/>
        <w:rPr>
          <w:rFonts w:hint="eastAsia" w:ascii="仿宋_GB2312" w:hAnsi="仿宋_GB2312" w:eastAsia="仿宋_GB2312" w:cs="仿宋_GB2312"/>
          <w:b w:val="0"/>
          <w:bCs w:val="0"/>
          <w:sz w:val="72"/>
          <w:szCs w:val="72"/>
          <w:lang w:eastAsia="zh-CN"/>
        </w:rPr>
      </w:pPr>
    </w:p>
    <w:p w14:paraId="7B7A8359">
      <w:pPr>
        <w:pStyle w:val="14"/>
        <w:jc w:val="center"/>
        <w:rPr>
          <w:rFonts w:hint="eastAsia" w:ascii="仿宋_GB2312" w:hAnsi="仿宋_GB2312" w:eastAsia="仿宋_GB2312" w:cs="仿宋_GB2312"/>
          <w:b w:val="0"/>
          <w:bCs w:val="0"/>
          <w:sz w:val="72"/>
          <w:szCs w:val="72"/>
          <w:lang w:eastAsia="zh-CN"/>
        </w:rPr>
      </w:pPr>
    </w:p>
    <w:p w14:paraId="28C375DE">
      <w:pPr>
        <w:pStyle w:val="14"/>
        <w:jc w:val="center"/>
        <w:rPr>
          <w:rFonts w:hint="eastAsia" w:ascii="仿宋_GB2312" w:hAnsi="仿宋_GB2312" w:eastAsia="仿宋_GB2312" w:cs="仿宋_GB2312"/>
          <w:b w:val="0"/>
          <w:bCs w:val="0"/>
          <w:sz w:val="72"/>
          <w:szCs w:val="72"/>
          <w:lang w:eastAsia="zh-CN"/>
        </w:rPr>
      </w:pPr>
    </w:p>
    <w:p w14:paraId="19B9906F">
      <w:pPr>
        <w:pStyle w:val="14"/>
        <w:jc w:val="center"/>
        <w:rPr>
          <w:rFonts w:hint="eastAsia" w:ascii="仿宋_GB2312" w:hAnsi="仿宋_GB2312" w:eastAsia="仿宋_GB2312" w:cs="仿宋_GB2312"/>
          <w:b w:val="0"/>
          <w:bCs w:val="0"/>
          <w:sz w:val="72"/>
          <w:szCs w:val="72"/>
          <w:lang w:eastAsia="zh-CN"/>
        </w:rPr>
      </w:pPr>
    </w:p>
    <w:p w14:paraId="20E8105C">
      <w:pPr>
        <w:pStyle w:val="14"/>
        <w:jc w:val="center"/>
        <w:rPr>
          <w:rFonts w:hint="eastAsia" w:ascii="仿宋_GB2312" w:hAnsi="仿宋_GB2312" w:eastAsia="仿宋_GB2312" w:cs="仿宋_GB2312"/>
          <w:b w:val="0"/>
          <w:bCs w:val="0"/>
          <w:sz w:val="72"/>
          <w:szCs w:val="72"/>
          <w:lang w:eastAsia="zh-CN"/>
        </w:rPr>
      </w:pPr>
    </w:p>
    <w:p w14:paraId="63F59F06">
      <w:pPr>
        <w:pStyle w:val="14"/>
        <w:jc w:val="center"/>
        <w:rPr>
          <w:rFonts w:hint="eastAsia" w:ascii="方正小标宋_GBK" w:hAnsi="方正小标宋_GBK" w:eastAsia="方正小标宋_GBK" w:cs="方正小标宋_GBK"/>
          <w:sz w:val="72"/>
          <w:szCs w:val="72"/>
        </w:rPr>
      </w:pPr>
    </w:p>
    <w:p w14:paraId="1570DE70">
      <w:pPr>
        <w:pStyle w:val="14"/>
        <w:jc w:val="center"/>
        <w:rPr>
          <w:rFonts w:hint="eastAsia" w:ascii="方正小标宋_GBK" w:hAnsi="方正小标宋_GBK" w:eastAsia="方正小标宋_GBK" w:cs="方正小标宋_GBK"/>
          <w:sz w:val="72"/>
          <w:szCs w:val="72"/>
        </w:rPr>
      </w:pPr>
    </w:p>
    <w:p w14:paraId="07BF1153">
      <w:pPr>
        <w:pStyle w:val="14"/>
        <w:jc w:val="both"/>
        <w:rPr>
          <w:rFonts w:hint="eastAsia" w:ascii="方正小标宋_GBK" w:hAnsi="方正小标宋_GBK" w:eastAsia="方正小标宋_GBK" w:cs="方正小标宋_GBK"/>
          <w:sz w:val="72"/>
          <w:szCs w:val="72"/>
        </w:rPr>
      </w:pPr>
    </w:p>
    <w:p w14:paraId="49D29C83">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73CEFEF">
      <w:pPr>
        <w:pStyle w:val="14"/>
        <w:jc w:val="center"/>
        <w:rPr>
          <w:rFonts w:hint="eastAsia" w:ascii="方正小标宋_GBK" w:hAnsi="方正小标宋_GBK" w:eastAsia="方正小标宋_GBK" w:cs="方正小标宋_GBK"/>
          <w:sz w:val="70"/>
          <w:szCs w:val="70"/>
        </w:rPr>
      </w:pPr>
    </w:p>
    <w:p w14:paraId="382A3C11">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88D1288">
      <w:pPr>
        <w:pStyle w:val="14"/>
        <w:jc w:val="center"/>
        <w:rPr>
          <w:rFonts w:hint="eastAsia" w:ascii="方正小标宋_GBK" w:hAnsi="方正小标宋_GBK" w:eastAsia="方正小标宋_GBK" w:cs="方正小标宋_GBK"/>
          <w:sz w:val="70"/>
          <w:szCs w:val="70"/>
        </w:rPr>
      </w:pPr>
    </w:p>
    <w:p w14:paraId="0CE845D7">
      <w:pPr>
        <w:pStyle w:val="14"/>
        <w:jc w:val="center"/>
        <w:rPr>
          <w:rFonts w:hint="eastAsia" w:ascii="方正小标宋_GBK" w:hAnsi="方正小标宋_GBK" w:eastAsia="方正小标宋_GBK" w:cs="方正小标宋_GBK"/>
          <w:sz w:val="70"/>
          <w:szCs w:val="70"/>
        </w:rPr>
      </w:pPr>
    </w:p>
    <w:p w14:paraId="32E6E39C">
      <w:pPr>
        <w:pStyle w:val="14"/>
        <w:jc w:val="center"/>
        <w:rPr>
          <w:rFonts w:hint="eastAsia" w:ascii="方正小标宋_GBK" w:hAnsi="方正小标宋_GBK" w:eastAsia="方正小标宋_GBK" w:cs="方正小标宋_GBK"/>
          <w:sz w:val="70"/>
          <w:szCs w:val="70"/>
        </w:rPr>
      </w:pPr>
    </w:p>
    <w:p w14:paraId="1FD6233C">
      <w:pPr>
        <w:pStyle w:val="14"/>
        <w:jc w:val="center"/>
        <w:rPr>
          <w:rFonts w:hint="eastAsia" w:ascii="方正小标宋_GBK" w:hAnsi="方正小标宋_GBK" w:eastAsia="方正小标宋_GBK" w:cs="方正小标宋_GBK"/>
          <w:sz w:val="70"/>
          <w:szCs w:val="70"/>
        </w:rPr>
      </w:pPr>
    </w:p>
    <w:p w14:paraId="6997DDB1">
      <w:pPr>
        <w:pStyle w:val="14"/>
        <w:jc w:val="center"/>
        <w:rPr>
          <w:rFonts w:hint="eastAsia" w:ascii="方正小标宋_GBK" w:hAnsi="方正小标宋_GBK" w:eastAsia="方正小标宋_GBK" w:cs="方正小标宋_GBK"/>
          <w:sz w:val="70"/>
          <w:szCs w:val="70"/>
        </w:rPr>
      </w:pPr>
    </w:p>
    <w:p w14:paraId="6F9EAC79">
      <w:pPr>
        <w:pStyle w:val="14"/>
        <w:jc w:val="center"/>
        <w:rPr>
          <w:rFonts w:hint="eastAsia" w:ascii="方正小标宋_GBK" w:hAnsi="方正小标宋_GBK" w:eastAsia="方正小标宋_GBK" w:cs="方正小标宋_GBK"/>
          <w:sz w:val="70"/>
          <w:szCs w:val="70"/>
        </w:rPr>
      </w:pPr>
    </w:p>
    <w:p w14:paraId="28E4A53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77C2F9D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37FD1A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年度收、支总计1,266.70万元。与上年相比，减少226.2万元，减少15.15%，主要是因为节能环保支出基本支出减少</w:t>
      </w:r>
      <w:r>
        <w:rPr>
          <w:rFonts w:hint="eastAsia" w:ascii="仿宋_GB2312" w:hAnsi="仿宋_GB2312" w:eastAsia="仿宋_GB2312" w:cs="仿宋_GB2312"/>
          <w:sz w:val="32"/>
          <w:szCs w:val="32"/>
          <w:lang w:eastAsia="zh-CN"/>
        </w:rPr>
        <w:t>。</w:t>
      </w:r>
    </w:p>
    <w:p w14:paraId="6DEB017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CFFA84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年度收入合计866.70万元，其中：财政拨款收入253.14万元，占29.21%；上级补助收入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%；其他收入613.5</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万元，占70.79%。</w:t>
      </w:r>
    </w:p>
    <w:p w14:paraId="72A7A12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D212D6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年度支出合计1,050.25万元，其中：基本支出235.18万元，占22.39%；项目支出815.07万元，占77.61%；上缴上级支出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6A7E24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F7579C9">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年度财政拨款收、支总计253.14万元，与上年相比，增加4.74万元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增长1.91%，主要是因为</w:t>
      </w:r>
      <w:r>
        <w:rPr>
          <w:rFonts w:hint="eastAsia" w:ascii="仿宋_GB2312" w:hAnsi="仿宋_GB2312" w:eastAsia="仿宋_GB2312" w:cs="仿宋_GB2312"/>
          <w:sz w:val="32"/>
          <w:szCs w:val="32"/>
          <w:lang w:eastAsia="zh-CN"/>
        </w:rPr>
        <w:t>人员经费调整。</w:t>
      </w:r>
    </w:p>
    <w:p w14:paraId="3EDEF54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2358A8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96FA07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年度财政拨款支出253.14万元，占本年支出合计的24.10%，与上年相比，财政拨款支出增加4.74万元，增长1.91%，主要是因为</w:t>
      </w:r>
      <w:r>
        <w:rPr>
          <w:rFonts w:hint="eastAsia" w:ascii="仿宋_GB2312" w:hAnsi="仿宋_GB2312" w:eastAsia="仿宋_GB2312" w:cs="仿宋_GB2312"/>
          <w:sz w:val="32"/>
          <w:szCs w:val="32"/>
          <w:lang w:eastAsia="zh-CN"/>
        </w:rPr>
        <w:t>人员经费调整。</w:t>
      </w:r>
    </w:p>
    <w:p w14:paraId="0BF8A35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9C3B38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年度财政拨款支出253.14万元，主要用于以下方面：社会保障和就业支出12.75万元，占5.04%；卫生健康支出10.48万元，占4.14%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节能环保支出217.1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万元，占85.79%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住房保障支出12.73万元，占5.03%;</w:t>
      </w:r>
    </w:p>
    <w:p w14:paraId="6A6F357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21D43B6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年度财政拨款支出年初预算数为187.71万元，支出决算数为253.14万元，完成年初预算的134.8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%，其中：</w:t>
      </w:r>
    </w:p>
    <w:p w14:paraId="07E7E8B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5E6738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年初预算为12.75万元，支出决算为12.75万元，完成年初预算的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w:t>
      </w:r>
      <w:bookmarkStart w:id="0" w:name="_GoBack"/>
      <w:bookmarkEnd w:id="0"/>
      <w:r>
        <w:rPr>
          <w:rFonts w:hint="eastAsia" w:ascii="仿宋_GB2312" w:hAnsi="仿宋_GB2312" w:eastAsia="仿宋_GB2312" w:cs="仿宋_GB2312"/>
          <w:sz w:val="32"/>
          <w:szCs w:val="32"/>
        </w:rPr>
        <w:t>于年初预算数的主要原因是：严格按照预算执行。</w:t>
      </w:r>
    </w:p>
    <w:p w14:paraId="0055D83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2FD38FC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年初预算为6.70万元，支出决算为6.70万元，完成年初预算的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3976252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1340426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年初预算为6.49万元，支出决算为3.78万元，完成年初预算的</w:t>
      </w:r>
      <w:r>
        <w:rPr>
          <w:rFonts w:hint="eastAsia" w:ascii="仿宋_GB2312" w:hAnsi="仿宋_GB2312" w:eastAsia="仿宋_GB2312" w:cs="仿宋_GB2312"/>
          <w:sz w:val="32"/>
          <w:szCs w:val="32"/>
          <w:lang w:val="en-US" w:eastAsia="zh-CN"/>
        </w:rPr>
        <w:t>58.24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人员经费调整</w:t>
      </w:r>
      <w:r>
        <w:rPr>
          <w:rFonts w:hint="eastAsia" w:ascii="仿宋_GB2312" w:hAnsi="仿宋_GB2312" w:eastAsia="仿宋_GB2312" w:cs="仿宋_GB2312"/>
          <w:sz w:val="32"/>
          <w:szCs w:val="32"/>
        </w:rPr>
        <w:t>。</w:t>
      </w:r>
    </w:p>
    <w:p w14:paraId="7CFB76D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4、节能环保支出（类）环境保护管理事务（款）行政运行（项）。</w:t>
      </w:r>
    </w:p>
    <w:p w14:paraId="0AC0211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val="en-US" w:eastAsia="zh-CN"/>
        </w:rPr>
        <w:t>年初预算为151.03万</w:t>
      </w:r>
      <w:r>
        <w:rPr>
          <w:rFonts w:hint="eastAsia" w:ascii="仿宋_GB2312" w:hAnsi="仿宋_GB2312" w:eastAsia="仿宋_GB2312" w:cs="仿宋_GB2312"/>
          <w:color w:val="000000"/>
          <w:kern w:val="0"/>
          <w:sz w:val="32"/>
          <w:szCs w:val="32"/>
          <w:lang w:val="en-US" w:eastAsia="zh-CN" w:bidi="ar-SA"/>
        </w:rPr>
        <w:t>元，支出决算为146.38万元，完成年初预算的96.91%，决算数小于年初预算数的主要原因是：严格控制运行经费。</w:t>
      </w:r>
    </w:p>
    <w:p w14:paraId="6C3CFD9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5、节能环保支出（类）环境保护管理事务（款）其他环境保护管理事务支出（项）。</w:t>
      </w:r>
    </w:p>
    <w:p w14:paraId="7677F6B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算为0.00万元，支出决算为10.47万元，由于预算数为0，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73E7AD8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6、节能环保支出（类）环境监测与监察（款）其他环境监测与监察支出（项）。</w:t>
      </w:r>
    </w:p>
    <w:p w14:paraId="73AA054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算为0.00万元，支出决算为12.56万元，由于预算数为0，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2B87E5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、节能环保支出（类）污染减排（款）生态环境执法监察（项）。</w:t>
      </w:r>
    </w:p>
    <w:p w14:paraId="05DA2FB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年初预算为0.00万元，支出决算为34.99万元，由于预算数为0，无法计算完成年初预算的百分比，决算数大于年初预算数的主要原因是：生态环境执法监察年初未做预算。</w:t>
      </w:r>
    </w:p>
    <w:p w14:paraId="72221F8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、节能环保支出（类）其他节能环保支出（款）其他节能环保支出（项）。</w:t>
      </w:r>
    </w:p>
    <w:p w14:paraId="634392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年初预算为0.00万元，支出决算为12.78万元，由于预算数为0，无法计算完成年初预算的百分比，决算数大于年初预算数的主要原因是：其他节能环保支出年初未做预算。</w:t>
      </w:r>
    </w:p>
    <w:p w14:paraId="01E8B1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、住房保障支出（类）住房改革支出（款）住房公积金（项）。</w:t>
      </w:r>
    </w:p>
    <w:p w14:paraId="018DE0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eastAsia="zh-CN"/>
        </w:rPr>
        <w:t>年初预算为12.73万元，支出决算为12.73万元，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6AB3A0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10ED3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年度财政拨款基本支出202.37万元，其中：</w:t>
      </w:r>
    </w:p>
    <w:p w14:paraId="1627E49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168.73万元，占基本支出的83.38%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1CF6C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33.64万元，占基本支出的16.62%，主要包括办公费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1B76F5E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0A1FD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7EB769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791B7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19FD54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A64EAE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4867EB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“三公”经费财政拨款支出预算为5.45万元，支出决算为4.57万元，完成预算的83.85%，决算数小于预算数的主要原因是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万元，减少12.1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76AE7B2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4F731DF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万元，支出决算为0.69万元，完成预算的</w:t>
      </w:r>
      <w:r>
        <w:rPr>
          <w:rFonts w:hint="eastAsia" w:ascii="仿宋_GB2312" w:hAnsi="仿宋_GB2312" w:eastAsia="仿宋_GB2312" w:cs="仿宋_GB2312"/>
          <w:sz w:val="32"/>
          <w:szCs w:val="32"/>
          <w:lang w:val="en-US" w:eastAsia="zh-CN"/>
        </w:rPr>
        <w:t>69.00</w:t>
      </w:r>
      <w:r>
        <w:rPr>
          <w:rFonts w:hint="eastAsia" w:ascii="仿宋_GB2312" w:hAnsi="仿宋_GB2312" w:eastAsia="仿宋_GB2312" w:cs="仿宋_GB2312"/>
          <w:sz w:val="32"/>
          <w:szCs w:val="32"/>
        </w:rPr>
        <w:t>%，决算数小于预算数的主要原因是按有关政策厉行节约，严控公务接待支出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万元，减少1.4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减少的主要原因是按有关政策厉行节约，严控公务接待支出。</w:t>
      </w:r>
    </w:p>
    <w:p w14:paraId="756D1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4FA9D8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 xml:space="preserve">4.45 </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万元，完成预算的87.19%，决算数小于预算数的主要原因是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与上年相</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0.62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13.78%</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w:t>
      </w:r>
    </w:p>
    <w:p w14:paraId="1D1BED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6990C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年度“三公”经费财政拨款支出决算中，公务接待费支出决算0.69万元，占15.10%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公务用车购置费及运行维护费支出决算3.88万元，占84.90%。其中：</w:t>
      </w:r>
    </w:p>
    <w:p w14:paraId="21DA1FF4">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因公出国（境）费支出决算为0.00万元，全年安排因公出国（境）团组0个，累计0人次，我单位2023年度无因公出国（境）费支出。</w:t>
      </w:r>
    </w:p>
    <w:p w14:paraId="6B39D78A">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公务接待费支出决算为</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全年共接待来访团组</w:t>
      </w:r>
      <w:r>
        <w:rPr>
          <w:rFonts w:hint="eastAsia" w:ascii="宋体" w:hAnsi="宋体" w:eastAsia="宋体" w:cs="黑体"/>
          <w:iCs/>
          <w:color w:val="000000"/>
          <w:sz w:val="32"/>
          <w:szCs w:val="32"/>
          <w:highlight w:val="none"/>
          <w:lang w:val="en-US" w:eastAsia="zh-CN" w:bidi="ar-SA"/>
        </w:rPr>
        <w:t>18</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人次，</w:t>
      </w:r>
      <w:r>
        <w:rPr>
          <w:rFonts w:hint="eastAsia" w:ascii="Times New Roman" w:hAnsi="Times New Roman" w:eastAsia="仿宋_GB2312"/>
          <w:sz w:val="32"/>
          <w:szCs w:val="32"/>
          <w:lang w:val="en-US" w:eastAsia="zh-CN"/>
        </w:rPr>
        <w:t>主要是用于与有关单位工作交流及接受相关部门督察、检查及指导工作发生的接待支出</w:t>
      </w:r>
      <w:r>
        <w:rPr>
          <w:rFonts w:hint="eastAsia" w:ascii="仿宋_GB2312" w:hAnsi="仿宋_GB2312" w:eastAsia="仿宋_GB2312" w:cs="仿宋_GB2312"/>
          <w:sz w:val="32"/>
          <w:szCs w:val="32"/>
        </w:rPr>
        <w:t>。</w:t>
      </w:r>
    </w:p>
    <w:p w14:paraId="44A4DE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万元，岳阳市生态环境局君山分局更新公务用车0辆，当年没有购置公务用车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万元，主要是巡逻执法车运行、维修支出，截至202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年12月31日，我单位开支财政拨款的公务用车保有量为1辆。</w:t>
      </w:r>
    </w:p>
    <w:p w14:paraId="4EC198A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C06C2E6">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年度机关运行经费支出33.64万元，比上年决算数增加6.05万元，增长21.93%。主要原因是：</w:t>
      </w:r>
      <w:r>
        <w:rPr>
          <w:rFonts w:hint="eastAsia" w:ascii="仿宋_GB2312" w:hAnsi="仿宋_GB2312" w:eastAsia="仿宋_GB2312" w:cs="仿宋_GB2312"/>
          <w:sz w:val="32"/>
          <w:szCs w:val="32"/>
          <w:lang w:eastAsia="zh-CN"/>
        </w:rPr>
        <w:t>办公费和工会经费的增加。</w:t>
      </w:r>
    </w:p>
    <w:p w14:paraId="04CCBF1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C77BE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度，会议费年初预算0.00万元，支出决算为0.00万元，由于预算数为0，无法计算完成年初预算的百分比。本单位无会议费的预算和支出决算数。</w:t>
      </w:r>
    </w:p>
    <w:p w14:paraId="28303E2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培训费年初预算0.00万元，支出决算为0.00万元，由于预算数为0，无法计算完成年初预算的百分比。本单位无培训费的预算和支出决算数。</w:t>
      </w:r>
    </w:p>
    <w:p w14:paraId="02806A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举办节庆、晚会、论坛、赛事活动年初预算0.00万元，支出决算为0.00万元，由于预算数为0，无法计算完成年初预算的百分比，本单位无举办节庆、晚会、论坛、赛事等活动的预算和支出决算数。</w:t>
      </w:r>
    </w:p>
    <w:p w14:paraId="4DCBA05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1C5F928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年度政府采购支出总额43.02 万元，其中：政府采购货物支出7.15万元、政府采购工程支出1.23万元、政府采购服务支出34.64万元。授予中小企业合同金额43.02万元，占政府采购支出总额的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%，其中：授予小微企业合同金额43</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4ECC207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19221B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51519DBE">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E0629A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19745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57677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253.14万元，政府性基金预算支出0.00万元，国有资本经营预算支出0.00万元。从评价情况来看，整体支出绩效评价中，2023年整体支出1050.25万元，其中：基本支出235.18万元，项目支出815.07万元，本单位整体支出绩效自评综合评分100分，评价结果等次为良好。</w:t>
      </w:r>
    </w:p>
    <w:p w14:paraId="38E9656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38.21万元，占一般公共预算项目支出总额的75.26%。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97分，评价结果等次为良好。</w:t>
      </w:r>
    </w:p>
    <w:p w14:paraId="11A5B7E1">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DCB092E">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根据年初设定的绩效目标，绩效自评得分为100分。全年预算数为866.71万元，执行数为1050.25万元，完成预算的121.18%。绩效目标完成情况：</w:t>
      </w:r>
      <w:r>
        <w:rPr>
          <w:rFonts w:hint="default" w:ascii="Times New Roman" w:hAnsi="Times New Roman" w:eastAsia="仿宋_GB2312" w:cs="Times New Roman"/>
          <w:color w:val="000000"/>
          <w:sz w:val="32"/>
          <w:szCs w:val="32"/>
          <w:highlight w:val="none"/>
        </w:rPr>
        <w:t>2023年以来，我区三个主要断面均达到目标水质，在全市“碧水攻坚战”考核通报中，我区水质综合指数（CWQI）排名全市第二；水质综合变化指数(△CWQI)排名全市第三；在水质保证金奖惩工作中，我区是全市唯一一个未被扣缴水质保障金的县市区。2023年1-11月，我区空气质量优良率为86.4%，排名城区第二；主要污染物PM2.5浓度为39μg/m3，同比下降3μg/m3；PM10浓度为55μg/m3，各项污染物指标基本达到了考核要求。2023年以来，规模化畜禽养殖粪污利用率、受污染耕地安全利用率、医疗废物安全无害化处置率及一般工业固体废物综合利用率均为100%，未发生较大及以上土壤污染事件，土壤环境质量总体平稳。</w:t>
      </w:r>
    </w:p>
    <w:p w14:paraId="484CD2F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FF0000"/>
          <w:sz w:val="32"/>
          <w:szCs w:val="32"/>
        </w:rPr>
      </w:pPr>
    </w:p>
    <w:p w14:paraId="27F296A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17F183F">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存在问题</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个别项目资金使用方面预算与实际存在差异。问题产生的主要原因：绩效管理水平有待提高，特别是绩效指标设置的科学性、合理性有待进一步改善。</w:t>
      </w:r>
    </w:p>
    <w:p w14:paraId="27697AEA">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下一步改进措施</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加强财务管理，严格财务审批。在费用报账支付时，按照预算规定的费用项目和用途进行资金使用、审核，列报支付，财务核算杜绝超支现象的发生。加强培训</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建议多开展部门整体绩效评价工作的业务工作培训，组织开展部门之间、单位之间的经验交流，特别是要组织非财务部门的人员参与评价工作，切实推进绩效评价工作的开展。</w:t>
      </w:r>
    </w:p>
    <w:p w14:paraId="1CFC847B">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037076">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56F0C73">
      <w:pPr>
        <w:pStyle w:val="14"/>
        <w:jc w:val="center"/>
        <w:rPr>
          <w:sz w:val="72"/>
          <w:szCs w:val="72"/>
        </w:rPr>
      </w:pPr>
    </w:p>
    <w:p w14:paraId="5361BD77">
      <w:pPr>
        <w:pStyle w:val="14"/>
        <w:jc w:val="center"/>
        <w:rPr>
          <w:sz w:val="72"/>
          <w:szCs w:val="72"/>
        </w:rPr>
      </w:pPr>
    </w:p>
    <w:p w14:paraId="2DDE6AB4">
      <w:pPr>
        <w:pStyle w:val="14"/>
        <w:jc w:val="center"/>
        <w:rPr>
          <w:sz w:val="72"/>
          <w:szCs w:val="72"/>
        </w:rPr>
      </w:pPr>
    </w:p>
    <w:p w14:paraId="75349511">
      <w:pPr>
        <w:pStyle w:val="14"/>
        <w:jc w:val="center"/>
        <w:rPr>
          <w:sz w:val="72"/>
          <w:szCs w:val="72"/>
        </w:rPr>
      </w:pPr>
    </w:p>
    <w:p w14:paraId="3D9DEBCC">
      <w:pPr>
        <w:pStyle w:val="14"/>
        <w:jc w:val="center"/>
        <w:rPr>
          <w:sz w:val="72"/>
          <w:szCs w:val="72"/>
        </w:rPr>
      </w:pPr>
    </w:p>
    <w:p w14:paraId="2B391001">
      <w:pPr>
        <w:pStyle w:val="14"/>
        <w:jc w:val="center"/>
        <w:rPr>
          <w:sz w:val="72"/>
          <w:szCs w:val="72"/>
        </w:rPr>
      </w:pPr>
    </w:p>
    <w:p w14:paraId="0E5442BA">
      <w:pPr>
        <w:pStyle w:val="14"/>
        <w:jc w:val="center"/>
        <w:rPr>
          <w:sz w:val="72"/>
          <w:szCs w:val="72"/>
        </w:rPr>
      </w:pPr>
    </w:p>
    <w:p w14:paraId="4907CC38">
      <w:pPr>
        <w:pStyle w:val="14"/>
        <w:jc w:val="center"/>
        <w:rPr>
          <w:sz w:val="72"/>
          <w:szCs w:val="72"/>
        </w:rPr>
      </w:pPr>
    </w:p>
    <w:p w14:paraId="13A67AB3">
      <w:pPr>
        <w:pStyle w:val="14"/>
        <w:jc w:val="center"/>
        <w:rPr>
          <w:sz w:val="72"/>
          <w:szCs w:val="72"/>
        </w:rPr>
      </w:pPr>
    </w:p>
    <w:p w14:paraId="5CBB327B">
      <w:pPr>
        <w:pStyle w:val="14"/>
        <w:jc w:val="center"/>
        <w:rPr>
          <w:rFonts w:hint="eastAsia" w:ascii="方正小标宋_GBK" w:hAnsi="方正小标宋_GBK" w:eastAsia="方正小标宋_GBK" w:cs="方正小标宋_GBK"/>
          <w:sz w:val="70"/>
          <w:szCs w:val="70"/>
          <w:lang w:eastAsia="zh-CN"/>
        </w:rPr>
      </w:pPr>
    </w:p>
    <w:p w14:paraId="599F3CC7">
      <w:pPr>
        <w:pStyle w:val="14"/>
        <w:jc w:val="center"/>
        <w:rPr>
          <w:rFonts w:hint="eastAsia" w:ascii="方正小标宋_GBK" w:hAnsi="方正小标宋_GBK" w:eastAsia="方正小标宋_GBK" w:cs="方正小标宋_GBK"/>
          <w:sz w:val="70"/>
          <w:szCs w:val="70"/>
          <w:lang w:eastAsia="zh-CN"/>
        </w:rPr>
      </w:pPr>
    </w:p>
    <w:p w14:paraId="15A48E98">
      <w:pPr>
        <w:pStyle w:val="14"/>
        <w:jc w:val="center"/>
        <w:rPr>
          <w:rFonts w:hint="eastAsia" w:ascii="方正小标宋_GBK" w:hAnsi="方正小标宋_GBK" w:eastAsia="方正小标宋_GBK" w:cs="方正小标宋_GBK"/>
          <w:sz w:val="72"/>
          <w:szCs w:val="72"/>
        </w:rPr>
      </w:pPr>
    </w:p>
    <w:p w14:paraId="502C1A8C">
      <w:pPr>
        <w:pStyle w:val="14"/>
        <w:jc w:val="center"/>
        <w:rPr>
          <w:rFonts w:hint="eastAsia" w:ascii="方正小标宋_GBK" w:hAnsi="方正小标宋_GBK" w:eastAsia="方正小标宋_GBK" w:cs="方正小标宋_GBK"/>
          <w:sz w:val="72"/>
          <w:szCs w:val="72"/>
        </w:rPr>
      </w:pPr>
    </w:p>
    <w:p w14:paraId="06200DAB">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BFE79D3">
      <w:pPr>
        <w:jc w:val="center"/>
        <w:rPr>
          <w:rFonts w:hint="eastAsia" w:ascii="方正小标宋_GBK" w:hAnsi="方正小标宋_GBK" w:eastAsia="方正小标宋_GBK" w:cs="方正小标宋_GBK"/>
          <w:color w:val="000000"/>
          <w:kern w:val="0"/>
          <w:sz w:val="70"/>
          <w:szCs w:val="70"/>
        </w:rPr>
      </w:pPr>
    </w:p>
    <w:p w14:paraId="52D5DA40">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6B40384">
      <w:pPr>
        <w:pStyle w:val="9"/>
      </w:pPr>
    </w:p>
    <w:p w14:paraId="14B91542">
      <w:pPr>
        <w:pStyle w:val="5"/>
      </w:pPr>
    </w:p>
    <w:p w14:paraId="0A1D44F1"/>
    <w:p w14:paraId="3A1F3858">
      <w:pPr>
        <w:pStyle w:val="9"/>
      </w:pPr>
    </w:p>
    <w:p w14:paraId="6DA4DBD3">
      <w:pPr>
        <w:pStyle w:val="5"/>
      </w:pPr>
    </w:p>
    <w:p w14:paraId="19FF2198"/>
    <w:p w14:paraId="7863C081">
      <w:pPr>
        <w:pStyle w:val="9"/>
      </w:pPr>
    </w:p>
    <w:p w14:paraId="2561B304">
      <w:pPr>
        <w:pStyle w:val="5"/>
      </w:pPr>
    </w:p>
    <w:p w14:paraId="0D427957"/>
    <w:p w14:paraId="1ED8CA1D">
      <w:pPr>
        <w:pStyle w:val="9"/>
      </w:pPr>
    </w:p>
    <w:p w14:paraId="288F70AE">
      <w:pPr>
        <w:pStyle w:val="5"/>
      </w:pPr>
    </w:p>
    <w:p w14:paraId="0D45913A"/>
    <w:p w14:paraId="33462F73">
      <w:pPr>
        <w:pStyle w:val="9"/>
      </w:pPr>
    </w:p>
    <w:p w14:paraId="6BA4AB34">
      <w:pPr>
        <w:pStyle w:val="5"/>
      </w:pPr>
    </w:p>
    <w:p w14:paraId="7F212599"/>
    <w:p w14:paraId="643FEEAC">
      <w:pPr>
        <w:pStyle w:val="9"/>
      </w:pPr>
    </w:p>
    <w:p w14:paraId="060E6D61">
      <w:pPr>
        <w:pStyle w:val="5"/>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p>
    <w:p w14:paraId="237C2EE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一、财政拨款收入：指本级财政当年拨付的资金。其他收入：指除上述“财政拨款收入”、“上级补助收入”、“事业收入”、“经营收入”、“附属单位上缴收入”等以外的收入。</w:t>
      </w:r>
    </w:p>
    <w:p w14:paraId="10A04439">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二、上年结转和结余：指以前年度尚未完成、结转到本年按有关规定继续使用的资金。</w:t>
      </w:r>
    </w:p>
    <w:p w14:paraId="408768D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7A51D3F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C09D9D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五、卫生健康支出（类）：是指用于医疗卫生与计划生育方面的支出，包括保障机构正常运转、完成日常和特定的工作任务或事业发展目标的支出。</w:t>
      </w:r>
    </w:p>
    <w:p w14:paraId="431E343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六、节能环保支出（类）：是指用于节能环保支出，包括保障机构正常运转、完成日常和特定的工作任务或事业发展目标的支出。</w:t>
      </w:r>
    </w:p>
    <w:p w14:paraId="766BD79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214FDA88">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八、基本支出：指保障机构正常运转、完成支日常工作任务而发生的人员支出和公用支出。</w:t>
      </w:r>
    </w:p>
    <w:p w14:paraId="42D0BC1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九、项目支出：指在基本支出之外为完成特定行政任务和事业发展目标所发生的支出。</w:t>
      </w:r>
    </w:p>
    <w:p w14:paraId="7CF31E0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EAF5B4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81C3C7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十二、工资福利支出：反映单位开支的在职职工和编制外长期聘用人员的各类劳动报酬，以及为上述人员缴纳的各项社会保险费等。</w:t>
      </w:r>
    </w:p>
    <w:p w14:paraId="1097C26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25FEF2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0BC6910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十五、奖金：反映机关工作人员年终一次性奖金。</w:t>
      </w:r>
    </w:p>
    <w:p w14:paraId="53C7F49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十六、伙食补助费：反映单位发给职工的伙食补助费，如误餐补助等。绩效工资：反映事业单位工作人员的绩效工资。</w:t>
      </w:r>
    </w:p>
    <w:p w14:paraId="45580B2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十七、机关事业单位基本养老保险缴费：反映机关事业单位缴纳的基本养老保险费。由单位代扣的工作人员基本养老保险缴费，不在此科目反映。</w:t>
      </w:r>
    </w:p>
    <w:p w14:paraId="11C777F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十八、职业年金缴费：反映机关事业单位实际缴纳的职业年金支出。由单位代扣的工作人员职业年金缴费，不在此科目反映。</w:t>
      </w:r>
    </w:p>
    <w:p w14:paraId="0D89E9F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十九、职工基本医疗保险缴费：反映单位为职工缴纳的基本医疗保险费。</w:t>
      </w:r>
    </w:p>
    <w:p w14:paraId="601C167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5D7B8666">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二十一、住房公积金：反映行政事业单位按人力资源和社会保障部、财政部规定的基本工资和津贴补贴以及规定比例为职工缴纳的住房公积金。</w:t>
      </w:r>
    </w:p>
    <w:p w14:paraId="5921316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二十二、医疗费：反映未参加医疗保险单位的医疗经费和单位按规定为职工支出的其他医疗费用。</w:t>
      </w:r>
    </w:p>
    <w:p w14:paraId="4D46744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32D7965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二十四、商品和服务支出：反映单位购买商品和服务的支出（不包括用于购置固定资产的支出、战略性和应急储备支出）。</w:t>
      </w:r>
    </w:p>
    <w:p w14:paraId="1FBC219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二十五、办公费：反映单位购买按财务会计制度规定不符合固定资产确认标准的日常办公用品、书报杂志等支出。</w:t>
      </w:r>
    </w:p>
    <w:p w14:paraId="6AF17F2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二十六、印刷费：反映单位的印刷费支出。</w:t>
      </w:r>
    </w:p>
    <w:p w14:paraId="5C95D80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二十七、咨询费：反映单位咨询方面的支出。</w:t>
      </w:r>
    </w:p>
    <w:p w14:paraId="1707107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二十八、水费：反映单位支付的水费、污水处理费等支出。</w:t>
      </w:r>
    </w:p>
    <w:p w14:paraId="4B0E4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二十九、电费：反映单位的电费支出。</w:t>
      </w:r>
    </w:p>
    <w:p w14:paraId="6771C23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三十、邮电费：反映单位开支的信函、包裹、货物等物品的邮寄费及电话费、电报费、传真费、网络通讯费等。</w:t>
      </w:r>
    </w:p>
    <w:p w14:paraId="1B7C80C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三十一、差旅费：反映单位工作人员出差发生的城市间交通费、住宿费、伙食补贴费和市内交通费。</w:t>
      </w:r>
    </w:p>
    <w:p w14:paraId="3BA0ACF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三十二、维修(护)费：反映单位日常开支的固定资产（不包括车船等交通工具）修理和维护费用，网络信息系统运行与维护费用，以及按规定提取的修购基金。</w:t>
      </w:r>
    </w:p>
    <w:p w14:paraId="7A2B0D7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三十三、会议费：反映会议中按规定开支的住宿费、伙食费、会议室租金、交通费、文件印刷费、医药费等。</w:t>
      </w:r>
    </w:p>
    <w:p w14:paraId="013021E2">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三十四、培训费：反映除因公出国（境）培训费以外的各类培训支出。</w:t>
      </w:r>
    </w:p>
    <w:p w14:paraId="7088385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三十五、公务接待费：反映单位按规定开支的各类公务接待（含外宾接待）费用。</w:t>
      </w:r>
    </w:p>
    <w:p w14:paraId="13BAB3A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三十六、专用燃料费：反映用作业务工作设备的车、船设施等的油料支出。</w:t>
      </w:r>
    </w:p>
    <w:p w14:paraId="103E9FB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三十七、劳务费：反映支付给单位和个人的劳务费用，如临时聘用人员、钟点工工资，稿费、翻译费，评审费等。</w:t>
      </w:r>
    </w:p>
    <w:p w14:paraId="387DD60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三十八、工会经费：反映单位按规定提取的工会经费。</w:t>
      </w:r>
    </w:p>
    <w:p w14:paraId="01087DE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三十九、公务用车运行维护费：反映单位按规定保留的公务用车燃料费、维修费、过桥过路费、保险费、安全奖励费用等支出。</w:t>
      </w:r>
    </w:p>
    <w:p w14:paraId="03F6909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72DA72DB">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270A9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四十二、对个人和家庭的补助：反映政府用于对个人和家庭的补助支出。</w:t>
      </w:r>
    </w:p>
    <w:p w14:paraId="3B95F27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四十三、退休费：反映行政事业单位和军队移交政府安置的退休人员的退休费和其他补贴。</w:t>
      </w:r>
    </w:p>
    <w:p w14:paraId="507CAFD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四十四、抚恤金：反映按规定开支的烈士遗属、牺牲病故人员遗属的一次性和定期抚恤金，伤残人员的抚恤金，离退休人员等其他人员的各项抚恤金。</w:t>
      </w:r>
    </w:p>
    <w:p w14:paraId="41FA4BB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F4F567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2072ACB4">
      <w:pPr>
        <w:pStyle w:val="9"/>
      </w:pPr>
    </w:p>
    <w:p w14:paraId="37012987">
      <w:pPr>
        <w:pStyle w:val="5"/>
      </w:pPr>
    </w:p>
    <w:p w14:paraId="0F5F7B48"/>
    <w:p w14:paraId="640F9844">
      <w:pPr>
        <w:pStyle w:val="9"/>
      </w:pPr>
    </w:p>
    <w:p w14:paraId="51EBFE5E">
      <w:pPr>
        <w:pStyle w:val="5"/>
      </w:pPr>
    </w:p>
    <w:p w14:paraId="18F227D3"/>
    <w:p w14:paraId="00EC8367">
      <w:pPr>
        <w:pStyle w:val="2"/>
      </w:pPr>
    </w:p>
    <w:p w14:paraId="4B15723A">
      <w:pPr>
        <w:pStyle w:val="3"/>
      </w:pPr>
    </w:p>
    <w:p w14:paraId="639C79A1"/>
    <w:p w14:paraId="1F196444">
      <w:pPr>
        <w:pStyle w:val="2"/>
      </w:pPr>
    </w:p>
    <w:p w14:paraId="037A1922">
      <w:pPr>
        <w:pStyle w:val="3"/>
      </w:pPr>
    </w:p>
    <w:p w14:paraId="17732833"/>
    <w:p w14:paraId="309B10D6">
      <w:pPr>
        <w:pStyle w:val="2"/>
      </w:pPr>
    </w:p>
    <w:p w14:paraId="1C04F62C">
      <w:pPr>
        <w:pStyle w:val="3"/>
      </w:pPr>
    </w:p>
    <w:p w14:paraId="2AC5345E"/>
    <w:p w14:paraId="2264711C">
      <w:pPr>
        <w:pStyle w:val="2"/>
      </w:pPr>
    </w:p>
    <w:p w14:paraId="384700BC">
      <w:pPr>
        <w:pStyle w:val="3"/>
      </w:pPr>
    </w:p>
    <w:p w14:paraId="68D0D424"/>
    <w:p w14:paraId="31FB44B6">
      <w:pPr>
        <w:pStyle w:val="2"/>
      </w:pPr>
    </w:p>
    <w:p w14:paraId="382B5256">
      <w:pPr>
        <w:pStyle w:val="3"/>
      </w:pPr>
    </w:p>
    <w:p w14:paraId="1426110F"/>
    <w:p w14:paraId="765DF263">
      <w:pPr>
        <w:pStyle w:val="2"/>
      </w:pPr>
    </w:p>
    <w:p w14:paraId="01684CFA">
      <w:pPr>
        <w:pStyle w:val="3"/>
      </w:pPr>
    </w:p>
    <w:p w14:paraId="112B8AEB"/>
    <w:p w14:paraId="1A812712">
      <w:pPr>
        <w:pStyle w:val="9"/>
      </w:pPr>
    </w:p>
    <w:p w14:paraId="22060175">
      <w:pPr>
        <w:pStyle w:val="5"/>
      </w:pPr>
    </w:p>
    <w:p w14:paraId="60882A74"/>
    <w:p w14:paraId="5050144B">
      <w:pPr>
        <w:pStyle w:val="9"/>
      </w:pPr>
    </w:p>
    <w:p w14:paraId="35A86F1E">
      <w:pPr>
        <w:pStyle w:val="5"/>
      </w:pPr>
    </w:p>
    <w:p w14:paraId="397C7AE1"/>
    <w:p w14:paraId="55600095">
      <w:pPr>
        <w:pStyle w:val="9"/>
      </w:pPr>
    </w:p>
    <w:p w14:paraId="6F3C1529">
      <w:pPr>
        <w:pStyle w:val="5"/>
      </w:pPr>
    </w:p>
    <w:p w14:paraId="007F8C2C">
      <w:pPr>
        <w:pStyle w:val="5"/>
      </w:pPr>
    </w:p>
    <w:p w14:paraId="60AD0101"/>
    <w:p w14:paraId="4B16B07C">
      <w:pPr>
        <w:pStyle w:val="9"/>
      </w:pPr>
    </w:p>
    <w:p w14:paraId="773C14DA">
      <w:pPr>
        <w:pStyle w:val="5"/>
      </w:pPr>
    </w:p>
    <w:p w14:paraId="1FB38E6D"/>
    <w:p w14:paraId="6855D8E5">
      <w:pPr>
        <w:pStyle w:val="9"/>
      </w:pPr>
    </w:p>
    <w:p w14:paraId="6401AFA3">
      <w:pPr>
        <w:pStyle w:val="5"/>
      </w:pPr>
    </w:p>
    <w:p w14:paraId="67B616BE"/>
    <w:p w14:paraId="184C3858">
      <w:pPr>
        <w:pStyle w:val="9"/>
      </w:pPr>
    </w:p>
    <w:p w14:paraId="2BD5C9BC">
      <w:pPr>
        <w:pStyle w:val="5"/>
      </w:pPr>
    </w:p>
    <w:p w14:paraId="4BC27648"/>
    <w:p w14:paraId="6E18D0EA">
      <w:pPr>
        <w:pStyle w:val="9"/>
      </w:pPr>
    </w:p>
    <w:p w14:paraId="346495D4">
      <w:pPr>
        <w:pStyle w:val="5"/>
      </w:pPr>
    </w:p>
    <w:p w14:paraId="0B72984F"/>
    <w:p w14:paraId="1B3A5129">
      <w:pPr>
        <w:pStyle w:val="9"/>
      </w:pPr>
    </w:p>
    <w:p w14:paraId="3E8E6A38">
      <w:pPr>
        <w:pStyle w:val="5"/>
      </w:pPr>
    </w:p>
    <w:p w14:paraId="57CBE5E2"/>
    <w:p w14:paraId="3DD909BB">
      <w:pPr>
        <w:pStyle w:val="2"/>
      </w:pPr>
    </w:p>
    <w:p w14:paraId="409AD997">
      <w:pPr>
        <w:pStyle w:val="3"/>
      </w:pPr>
    </w:p>
    <w:p w14:paraId="7737D72E"/>
    <w:p w14:paraId="057E1F49">
      <w:pPr>
        <w:pStyle w:val="5"/>
      </w:pPr>
    </w:p>
    <w:p w14:paraId="04310E8C">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26F11A3">
      <w:pPr>
        <w:pStyle w:val="14"/>
        <w:jc w:val="both"/>
        <w:rPr>
          <w:rFonts w:hint="eastAsia" w:ascii="方正小标宋_GBK" w:hAnsi="方正小标宋_GBK" w:eastAsia="方正小标宋_GBK" w:cs="方正小标宋_GBK"/>
          <w:sz w:val="70"/>
          <w:szCs w:val="70"/>
          <w:lang w:eastAsia="zh-CN"/>
        </w:rPr>
      </w:pPr>
    </w:p>
    <w:p w14:paraId="3CAEC79A">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04BD88">
      <w:pPr>
        <w:ind w:firstLine="640" w:firstLineChars="200"/>
        <w:jc w:val="left"/>
        <w:rPr>
          <w:rFonts w:hint="eastAsia" w:ascii="宋体" w:hAnsi="宋体" w:eastAsia="宋体" w:cs="黑体"/>
          <w:b/>
          <w:color w:val="000000"/>
          <w:kern w:val="0"/>
          <w:sz w:val="32"/>
          <w:szCs w:val="32"/>
          <w:lang w:val="en-US" w:eastAsia="zh-CN"/>
        </w:rPr>
      </w:pPr>
    </w:p>
    <w:p w14:paraId="7B8E664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B1D2B3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41617B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21262B"/>
    <w:multiLevelType w:val="singleLevel"/>
    <w:tmpl w:val="6F21262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xNjg4ZTg5YjU3ZmVlNGFkY2NiMjFmNDVmZTE2NG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09D34F51"/>
    <w:rsid w:val="0E5E7EC3"/>
    <w:rsid w:val="12583BA5"/>
    <w:rsid w:val="130C6140"/>
    <w:rsid w:val="13BA5B9C"/>
    <w:rsid w:val="17AF1790"/>
    <w:rsid w:val="18950986"/>
    <w:rsid w:val="1BEA0FE8"/>
    <w:rsid w:val="1D97DEFF"/>
    <w:rsid w:val="1DFF72E5"/>
    <w:rsid w:val="1EFC6F07"/>
    <w:rsid w:val="1F0527A6"/>
    <w:rsid w:val="22AC03C2"/>
    <w:rsid w:val="2B98280F"/>
    <w:rsid w:val="2E6F4259"/>
    <w:rsid w:val="2F3B20E5"/>
    <w:rsid w:val="2FDF85B8"/>
    <w:rsid w:val="2FFFEE04"/>
    <w:rsid w:val="31C95635"/>
    <w:rsid w:val="31E03850"/>
    <w:rsid w:val="34DF85B0"/>
    <w:rsid w:val="35770A1A"/>
    <w:rsid w:val="37865C12"/>
    <w:rsid w:val="3A086DB2"/>
    <w:rsid w:val="3B8F36BC"/>
    <w:rsid w:val="3BAA21D2"/>
    <w:rsid w:val="3F3B5F0A"/>
    <w:rsid w:val="40BC26A4"/>
    <w:rsid w:val="43E51F12"/>
    <w:rsid w:val="45C90C72"/>
    <w:rsid w:val="491FF225"/>
    <w:rsid w:val="4C7C5F1D"/>
    <w:rsid w:val="4FFD214C"/>
    <w:rsid w:val="5352765A"/>
    <w:rsid w:val="55BD676B"/>
    <w:rsid w:val="5777D4F5"/>
    <w:rsid w:val="59DD8326"/>
    <w:rsid w:val="5BE0450C"/>
    <w:rsid w:val="5DEF592A"/>
    <w:rsid w:val="5FC6BB1E"/>
    <w:rsid w:val="5FF720F1"/>
    <w:rsid w:val="60C75417"/>
    <w:rsid w:val="67852A79"/>
    <w:rsid w:val="67FF5C0B"/>
    <w:rsid w:val="6BAA4A2F"/>
    <w:rsid w:val="6D91263F"/>
    <w:rsid w:val="6EFC0924"/>
    <w:rsid w:val="6F2F210F"/>
    <w:rsid w:val="6FB145DE"/>
    <w:rsid w:val="6FB74722"/>
    <w:rsid w:val="6FEF8B7E"/>
    <w:rsid w:val="71A6591B"/>
    <w:rsid w:val="737D59BA"/>
    <w:rsid w:val="737F32B1"/>
    <w:rsid w:val="77C37683"/>
    <w:rsid w:val="780D4FB8"/>
    <w:rsid w:val="78427E2E"/>
    <w:rsid w:val="79FF515B"/>
    <w:rsid w:val="7AAF7B14"/>
    <w:rsid w:val="7D513B99"/>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120"/>
      <w:jc w:val="both"/>
    </w:pPr>
    <w:rPr>
      <w:rFonts w:hint="eastAsia" w:ascii="Calibri" w:hAnsi="Calibri" w:eastAsia="宋体" w:cs="Times New Roman"/>
      <w:kern w:val="2"/>
      <w:sz w:val="21"/>
      <w:szCs w:val="24"/>
      <w:lang w:val="en-US" w:eastAsia="zh-CN" w:bidi="ar-SA"/>
    </w:rPr>
  </w:style>
  <w:style w:type="paragraph" w:styleId="3">
    <w:name w:val="toc 5"/>
    <w:basedOn w:val="1"/>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autoRedefine/>
    <w:semiHidden/>
    <w:unhideWhenUsed/>
    <w:qFormat/>
    <w:uiPriority w:val="99"/>
    <w:rPr>
      <w:sz w:val="18"/>
      <w:szCs w:val="18"/>
    </w:rPr>
  </w:style>
  <w:style w:type="paragraph" w:styleId="7">
    <w:name w:val="footer"/>
    <w:basedOn w:val="1"/>
    <w:link w:val="13"/>
    <w:autoRedefine/>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autoRedefine/>
    <w:qFormat/>
    <w:uiPriority w:val="99"/>
    <w:rPr>
      <w:sz w:val="18"/>
      <w:szCs w:val="18"/>
    </w:rPr>
  </w:style>
  <w:style w:type="character" w:customStyle="1" w:styleId="13">
    <w:name w:val="页脚 Char"/>
    <w:basedOn w:val="11"/>
    <w:link w:val="7"/>
    <w:autoRedefine/>
    <w:qFormat/>
    <w:uiPriority w:val="99"/>
    <w:rPr>
      <w:sz w:val="18"/>
      <w:szCs w:val="18"/>
    </w:rPr>
  </w:style>
  <w:style w:type="paragraph" w:customStyle="1" w:styleId="14">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autoRedefine/>
    <w:qFormat/>
    <w:uiPriority w:val="34"/>
    <w:pPr>
      <w:ind w:firstLine="420" w:firstLineChars="200"/>
    </w:pPr>
  </w:style>
  <w:style w:type="character" w:customStyle="1" w:styleId="16">
    <w:name w:val="批注框文本 Char"/>
    <w:basedOn w:val="11"/>
    <w:link w:val="6"/>
    <w:autoRedefine/>
    <w:semiHidden/>
    <w:qFormat/>
    <w:uiPriority w:val="99"/>
    <w:rPr>
      <w:sz w:val="18"/>
      <w:szCs w:val="18"/>
    </w:rPr>
  </w:style>
  <w:style w:type="character" w:customStyle="1" w:styleId="17">
    <w:name w:val="font01"/>
    <w:basedOn w:val="11"/>
    <w:autoRedefine/>
    <w:qFormat/>
    <w:uiPriority w:val="0"/>
    <w:rPr>
      <w:rFonts w:hint="eastAsia" w:ascii="宋体" w:hAnsi="宋体" w:eastAsia="宋体" w:cs="宋体"/>
      <w:color w:val="000000"/>
      <w:sz w:val="22"/>
      <w:szCs w:val="22"/>
      <w:u w:val="none"/>
    </w:rPr>
  </w:style>
  <w:style w:type="character" w:customStyle="1" w:styleId="18">
    <w:name w:val="font21"/>
    <w:basedOn w:val="11"/>
    <w:autoRedefine/>
    <w:qFormat/>
    <w:uiPriority w:val="0"/>
    <w:rPr>
      <w:rFonts w:hint="eastAsia" w:ascii="宋体" w:hAnsi="宋体" w:eastAsia="宋体" w:cs="宋体"/>
      <w:color w:val="000000"/>
      <w:sz w:val="24"/>
      <w:szCs w:val="24"/>
      <w:u w:val="none"/>
    </w:rPr>
  </w:style>
  <w:style w:type="character" w:customStyle="1" w:styleId="19">
    <w:name w:val="font1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8736</Words>
  <Characters>9459</Characters>
  <Lines>63</Lines>
  <Paragraphs>18</Paragraphs>
  <TotalTime>24</TotalTime>
  <ScaleCrop>false</ScaleCrop>
  <LinksUpToDate>false</LinksUpToDate>
  <CharactersWithSpaces>9475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WPS_1620983152</cp:lastModifiedBy>
  <cp:lastPrinted>2024-08-08T10:20:00Z</cp:lastPrinted>
  <dcterms:modified xsi:type="dcterms:W3CDTF">2024-09-24T01:59:36Z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1DF757E8B6354E1791BB13C7742E3520_13</vt:lpwstr>
  </property>
</Properties>
</file>