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E85FE0">
      <w:pPr>
        <w:spacing w:after="120" w:afterLines="50" w:line="600" w:lineRule="exact"/>
        <w:jc w:val="both"/>
        <w:rPr>
          <w:rFonts w:hint="eastAsia" w:ascii="黑体" w:hAnsi="黑体" w:eastAsia="黑体" w:cs="黑体"/>
          <w:sz w:val="32"/>
          <w:szCs w:val="32"/>
          <w:lang w:eastAsia="zh-CN"/>
        </w:rPr>
      </w:pPr>
    </w:p>
    <w:p w14:paraId="78A2FD42">
      <w:pPr>
        <w:spacing w:after="120" w:afterLines="50" w:line="60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14:paraId="30D2B3C0">
      <w:pPr>
        <w:spacing w:after="120" w:afterLines="50" w:line="600" w:lineRule="exact"/>
        <w:jc w:val="center"/>
        <w:rPr>
          <w:rFonts w:hint="eastAsia"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2</w:t>
      </w:r>
      <w:r>
        <w:rPr>
          <w:rFonts w:hint="eastAsia" w:ascii="方正小标宋简体" w:hAnsi="方正小标宋简体" w:eastAsia="方正小标宋简体" w:cs="方正小标宋简体"/>
          <w:sz w:val="36"/>
          <w:szCs w:val="36"/>
        </w:rPr>
        <w:t>年度部门整体支出绩效评价基础数据表</w:t>
      </w:r>
    </w:p>
    <w:tbl>
      <w:tblPr>
        <w:tblStyle w:val="5"/>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385D2ED4">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14:paraId="0C819D10">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14:paraId="3A51FB75">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14:paraId="59A76D6B">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14:paraId="0AD1EE7F">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控制率</w:t>
            </w:r>
          </w:p>
        </w:tc>
      </w:tr>
      <w:tr w14:paraId="281A9ED5">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14:paraId="0665CCEF">
            <w:pPr>
              <w:widowControl/>
              <w:spacing w:line="360" w:lineRule="exact"/>
              <w:jc w:val="left"/>
              <w:rPr>
                <w:rFonts w:hint="eastAsia" w:ascii="仿宋_GB2312" w:hAnsi="仿宋_GB2312" w:eastAsia="仿宋_GB2312" w:cs="仿宋_GB2312"/>
                <w:sz w:val="20"/>
                <w:szCs w:val="20"/>
              </w:rPr>
            </w:pPr>
          </w:p>
        </w:tc>
        <w:tc>
          <w:tcPr>
            <w:tcW w:w="2038" w:type="dxa"/>
            <w:gridSpan w:val="2"/>
            <w:tcBorders>
              <w:top w:val="single" w:color="auto" w:sz="4" w:space="0"/>
              <w:left w:val="nil"/>
              <w:bottom w:val="single" w:color="auto" w:sz="4" w:space="0"/>
              <w:right w:val="single" w:color="auto" w:sz="4" w:space="0"/>
            </w:tcBorders>
            <w:noWrap w:val="0"/>
            <w:vAlign w:val="center"/>
          </w:tcPr>
          <w:p w14:paraId="0EB01F33">
            <w:pPr>
              <w:widowControl/>
              <w:spacing w:line="360" w:lineRule="exact"/>
              <w:jc w:val="center"/>
              <w:rPr>
                <w:rFonts w:hint="default" w:ascii="仿宋_GB2312" w:hAnsi="仿宋_GB2312" w:eastAsia="仿宋_GB2312" w:cs="仿宋_GB2312"/>
                <w:sz w:val="20"/>
                <w:szCs w:val="20"/>
                <w:lang w:val="en-US"/>
              </w:rPr>
            </w:pPr>
            <w:r>
              <w:rPr>
                <w:rFonts w:hint="eastAsia" w:ascii="仿宋_GB2312" w:hAnsi="仿宋_GB2312" w:eastAsia="仿宋_GB2312" w:cs="仿宋_GB2312"/>
                <w:sz w:val="20"/>
                <w:szCs w:val="20"/>
                <w:lang w:val="en-US" w:eastAsia="zh-CN"/>
              </w:rPr>
              <w:t>15</w:t>
            </w:r>
          </w:p>
        </w:tc>
        <w:tc>
          <w:tcPr>
            <w:tcW w:w="2240" w:type="dxa"/>
            <w:gridSpan w:val="2"/>
            <w:tcBorders>
              <w:top w:val="single" w:color="auto" w:sz="4" w:space="0"/>
              <w:left w:val="nil"/>
              <w:bottom w:val="single" w:color="auto" w:sz="4" w:space="0"/>
              <w:right w:val="single" w:color="auto" w:sz="4" w:space="0"/>
            </w:tcBorders>
            <w:noWrap w:val="0"/>
            <w:vAlign w:val="center"/>
          </w:tcPr>
          <w:p w14:paraId="1B934C55">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11</w:t>
            </w:r>
          </w:p>
        </w:tc>
        <w:tc>
          <w:tcPr>
            <w:tcW w:w="2041" w:type="dxa"/>
            <w:gridSpan w:val="2"/>
            <w:tcBorders>
              <w:top w:val="single" w:color="auto" w:sz="4" w:space="0"/>
              <w:left w:val="nil"/>
              <w:bottom w:val="single" w:color="auto" w:sz="4" w:space="0"/>
              <w:right w:val="single" w:color="auto" w:sz="4" w:space="0"/>
            </w:tcBorders>
            <w:noWrap w:val="0"/>
            <w:vAlign w:val="center"/>
          </w:tcPr>
          <w:p w14:paraId="67F64713">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73%</w:t>
            </w:r>
            <w:r>
              <w:rPr>
                <w:rFonts w:hint="eastAsia" w:ascii="仿宋_GB2312" w:hAnsi="仿宋_GB2312" w:eastAsia="仿宋_GB2312" w:cs="仿宋_GB2312"/>
                <w:sz w:val="20"/>
                <w:szCs w:val="20"/>
              </w:rPr>
              <w:t>　</w:t>
            </w:r>
          </w:p>
        </w:tc>
      </w:tr>
      <w:tr w14:paraId="5FDF8EE7">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E4158C7">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14:paraId="1262335D">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1</w:t>
            </w:r>
            <w:r>
              <w:rPr>
                <w:rFonts w:hint="eastAsia" w:ascii="仿宋_GB2312" w:hAnsi="仿宋_GB2312" w:eastAsia="仿宋_GB2312" w:cs="仿宋_GB2312"/>
                <w:b/>
                <w:bCs/>
                <w:sz w:val="20"/>
                <w:szCs w:val="20"/>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14:paraId="274ADE68">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14:paraId="2EED1F9A">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年决算数</w:t>
            </w:r>
          </w:p>
        </w:tc>
      </w:tr>
      <w:tr w14:paraId="1FE749D4">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2934647">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2C875CFF">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6.16</w:t>
            </w:r>
          </w:p>
        </w:tc>
        <w:tc>
          <w:tcPr>
            <w:tcW w:w="2240" w:type="dxa"/>
            <w:gridSpan w:val="2"/>
            <w:tcBorders>
              <w:top w:val="single" w:color="auto" w:sz="4" w:space="0"/>
              <w:left w:val="nil"/>
              <w:bottom w:val="single" w:color="auto" w:sz="4" w:space="0"/>
              <w:right w:val="single" w:color="000000" w:sz="4" w:space="0"/>
            </w:tcBorders>
            <w:noWrap w:val="0"/>
            <w:vAlign w:val="center"/>
          </w:tcPr>
          <w:p w14:paraId="2DCAFBFA">
            <w:pPr>
              <w:widowControl/>
              <w:spacing w:line="360" w:lineRule="exact"/>
              <w:jc w:val="center"/>
              <w:rPr>
                <w:rFonts w:hint="default" w:ascii="仿宋_GB2312" w:hAnsi="仿宋_GB2312" w:eastAsia="仿宋_GB2312" w:cs="仿宋_GB2312"/>
                <w:sz w:val="20"/>
                <w:szCs w:val="20"/>
                <w:lang w:val="en-US"/>
              </w:rPr>
            </w:pPr>
            <w:r>
              <w:rPr>
                <w:rFonts w:hint="eastAsia" w:ascii="仿宋_GB2312" w:hAnsi="仿宋_GB2312" w:eastAsia="仿宋_GB2312" w:cs="仿宋_GB2312"/>
                <w:sz w:val="20"/>
                <w:szCs w:val="20"/>
                <w:lang w:val="en-US" w:eastAsia="zh-CN"/>
              </w:rPr>
              <w:t>4.00</w:t>
            </w:r>
          </w:p>
        </w:tc>
        <w:tc>
          <w:tcPr>
            <w:tcW w:w="2041" w:type="dxa"/>
            <w:gridSpan w:val="2"/>
            <w:tcBorders>
              <w:top w:val="single" w:color="auto" w:sz="4" w:space="0"/>
              <w:left w:val="nil"/>
              <w:bottom w:val="single" w:color="auto" w:sz="4" w:space="0"/>
              <w:right w:val="single" w:color="000000" w:sz="4" w:space="0"/>
            </w:tcBorders>
            <w:noWrap w:val="0"/>
            <w:vAlign w:val="center"/>
          </w:tcPr>
          <w:p w14:paraId="5FCB29E6">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5.20</w:t>
            </w:r>
            <w:r>
              <w:rPr>
                <w:rFonts w:hint="eastAsia" w:ascii="仿宋_GB2312" w:hAnsi="仿宋_GB2312" w:eastAsia="仿宋_GB2312" w:cs="仿宋_GB2312"/>
                <w:sz w:val="20"/>
                <w:szCs w:val="20"/>
              </w:rPr>
              <w:t>　</w:t>
            </w:r>
          </w:p>
        </w:tc>
      </w:tr>
      <w:tr w14:paraId="1AB0912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13D2C68">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23F0977C">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4.56</w:t>
            </w:r>
          </w:p>
        </w:tc>
        <w:tc>
          <w:tcPr>
            <w:tcW w:w="2240" w:type="dxa"/>
            <w:gridSpan w:val="2"/>
            <w:tcBorders>
              <w:top w:val="single" w:color="auto" w:sz="4" w:space="0"/>
              <w:left w:val="nil"/>
              <w:bottom w:val="single" w:color="auto" w:sz="4" w:space="0"/>
              <w:right w:val="single" w:color="000000" w:sz="4" w:space="0"/>
            </w:tcBorders>
            <w:noWrap w:val="0"/>
            <w:vAlign w:val="center"/>
          </w:tcPr>
          <w:p w14:paraId="730A1B4E">
            <w:pPr>
              <w:widowControl/>
              <w:spacing w:line="360" w:lineRule="exact"/>
              <w:jc w:val="center"/>
              <w:rPr>
                <w:rFonts w:hint="default" w:ascii="仿宋_GB2312" w:hAnsi="仿宋_GB2312" w:eastAsia="仿宋_GB2312" w:cs="仿宋_GB2312"/>
                <w:sz w:val="20"/>
                <w:szCs w:val="20"/>
                <w:lang w:val="en-US"/>
              </w:rPr>
            </w:pPr>
            <w:r>
              <w:rPr>
                <w:rFonts w:hint="eastAsia" w:ascii="仿宋_GB2312" w:hAnsi="仿宋_GB2312" w:eastAsia="仿宋_GB2312" w:cs="仿宋_GB2312"/>
                <w:sz w:val="20"/>
                <w:szCs w:val="20"/>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14:paraId="3CDB09A7">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4.50</w:t>
            </w:r>
          </w:p>
        </w:tc>
      </w:tr>
      <w:tr w14:paraId="31386A1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742AC19">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14:paraId="27D9D68C">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F482146">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E5D7C3E">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p>
        </w:tc>
      </w:tr>
      <w:tr w14:paraId="76038966">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CB2F1A3">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14:paraId="4ECC5095">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4.56</w:t>
            </w:r>
          </w:p>
        </w:tc>
        <w:tc>
          <w:tcPr>
            <w:tcW w:w="2240" w:type="dxa"/>
            <w:gridSpan w:val="2"/>
            <w:tcBorders>
              <w:top w:val="single" w:color="auto" w:sz="4" w:space="0"/>
              <w:left w:val="nil"/>
              <w:bottom w:val="single" w:color="auto" w:sz="4" w:space="0"/>
              <w:right w:val="single" w:color="000000" w:sz="4" w:space="0"/>
            </w:tcBorders>
            <w:noWrap w:val="0"/>
            <w:vAlign w:val="center"/>
          </w:tcPr>
          <w:p w14:paraId="6A2D3533">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3.00</w:t>
            </w:r>
          </w:p>
        </w:tc>
        <w:tc>
          <w:tcPr>
            <w:tcW w:w="2041" w:type="dxa"/>
            <w:gridSpan w:val="2"/>
            <w:tcBorders>
              <w:top w:val="single" w:color="auto" w:sz="4" w:space="0"/>
              <w:left w:val="nil"/>
              <w:bottom w:val="single" w:color="auto" w:sz="4" w:space="0"/>
              <w:right w:val="single" w:color="000000" w:sz="4" w:space="0"/>
            </w:tcBorders>
            <w:noWrap w:val="0"/>
            <w:vAlign w:val="center"/>
          </w:tcPr>
          <w:p w14:paraId="20615E11">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4.50</w:t>
            </w:r>
          </w:p>
        </w:tc>
      </w:tr>
      <w:tr w14:paraId="10F98E6A">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EA9B090">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8A7DE26">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A2C12D1">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E952F23">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p>
        </w:tc>
      </w:tr>
      <w:tr w14:paraId="58B4C61F">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440172E">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14:paraId="4CBEBCC9">
            <w:pPr>
              <w:widowControl/>
              <w:spacing w:line="360" w:lineRule="exact"/>
              <w:jc w:val="center"/>
              <w:rPr>
                <w:rFonts w:hint="eastAsia"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1.60</w:t>
            </w:r>
          </w:p>
        </w:tc>
        <w:tc>
          <w:tcPr>
            <w:tcW w:w="2240" w:type="dxa"/>
            <w:gridSpan w:val="2"/>
            <w:tcBorders>
              <w:top w:val="single" w:color="auto" w:sz="4" w:space="0"/>
              <w:left w:val="nil"/>
              <w:bottom w:val="single" w:color="auto" w:sz="4" w:space="0"/>
              <w:right w:val="single" w:color="000000" w:sz="4" w:space="0"/>
            </w:tcBorders>
            <w:noWrap w:val="0"/>
            <w:vAlign w:val="center"/>
          </w:tcPr>
          <w:p w14:paraId="7CCE00B6">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1.00</w:t>
            </w:r>
          </w:p>
        </w:tc>
        <w:tc>
          <w:tcPr>
            <w:tcW w:w="2041" w:type="dxa"/>
            <w:gridSpan w:val="2"/>
            <w:tcBorders>
              <w:top w:val="single" w:color="auto" w:sz="4" w:space="0"/>
              <w:left w:val="nil"/>
              <w:bottom w:val="single" w:color="auto" w:sz="4" w:space="0"/>
              <w:right w:val="single" w:color="000000" w:sz="4" w:space="0"/>
            </w:tcBorders>
            <w:noWrap w:val="0"/>
            <w:vAlign w:val="center"/>
          </w:tcPr>
          <w:p w14:paraId="6373D8BC">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0.70</w:t>
            </w:r>
          </w:p>
        </w:tc>
      </w:tr>
      <w:tr w14:paraId="6808218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95D33F1">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14:paraId="1C6C4F55">
            <w:pPr>
              <w:widowControl/>
              <w:spacing w:line="360" w:lineRule="exact"/>
              <w:jc w:val="center"/>
              <w:rPr>
                <w:rFonts w:hint="default"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C77335D">
            <w:pPr>
              <w:widowControl/>
              <w:spacing w:line="360" w:lineRule="exact"/>
              <w:jc w:val="center"/>
              <w:rPr>
                <w:rFonts w:hint="default"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41.78</w:t>
            </w:r>
          </w:p>
        </w:tc>
        <w:tc>
          <w:tcPr>
            <w:tcW w:w="2041" w:type="dxa"/>
            <w:gridSpan w:val="2"/>
            <w:tcBorders>
              <w:top w:val="single" w:color="auto" w:sz="4" w:space="0"/>
              <w:left w:val="nil"/>
              <w:bottom w:val="single" w:color="auto" w:sz="4" w:space="0"/>
              <w:right w:val="single" w:color="000000" w:sz="4" w:space="0"/>
            </w:tcBorders>
            <w:shd w:val="clear"/>
            <w:noWrap w:val="0"/>
            <w:vAlign w:val="center"/>
          </w:tcPr>
          <w:p w14:paraId="46D22995">
            <w:pPr>
              <w:widowControl/>
              <w:spacing w:line="360" w:lineRule="exact"/>
              <w:jc w:val="center"/>
              <w:rPr>
                <w:rFonts w:hint="eastAsia"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676.05</w:t>
            </w:r>
          </w:p>
        </w:tc>
      </w:tr>
      <w:tr w14:paraId="10ABA3A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701C142">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1、环境监察、监测等运行经费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7C40D8D">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4A0E74CC">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26</w:t>
            </w:r>
          </w:p>
        </w:tc>
        <w:tc>
          <w:tcPr>
            <w:tcW w:w="2041" w:type="dxa"/>
            <w:gridSpan w:val="2"/>
            <w:tcBorders>
              <w:top w:val="single" w:color="auto" w:sz="4" w:space="0"/>
              <w:left w:val="nil"/>
              <w:bottom w:val="single" w:color="auto" w:sz="4" w:space="0"/>
              <w:right w:val="single" w:color="000000" w:sz="4" w:space="0"/>
            </w:tcBorders>
            <w:noWrap w:val="0"/>
            <w:vAlign w:val="center"/>
          </w:tcPr>
          <w:p w14:paraId="7009DB7D">
            <w:pPr>
              <w:widowControl/>
              <w:spacing w:line="360" w:lineRule="exact"/>
              <w:jc w:val="center"/>
              <w:rPr>
                <w:rFonts w:hint="default"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26</w:t>
            </w:r>
          </w:p>
        </w:tc>
      </w:tr>
      <w:tr w14:paraId="1DEB954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22DEF6F">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2、环境监控、监测及监察能力建设</w:t>
            </w:r>
          </w:p>
        </w:tc>
        <w:tc>
          <w:tcPr>
            <w:tcW w:w="2038" w:type="dxa"/>
            <w:gridSpan w:val="2"/>
            <w:tcBorders>
              <w:top w:val="single" w:color="auto" w:sz="4" w:space="0"/>
              <w:left w:val="nil"/>
              <w:bottom w:val="single" w:color="auto" w:sz="4" w:space="0"/>
              <w:right w:val="single" w:color="000000" w:sz="4" w:space="0"/>
            </w:tcBorders>
            <w:noWrap w:val="0"/>
            <w:vAlign w:val="center"/>
          </w:tcPr>
          <w:p w14:paraId="6BE817D5">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F42C05C">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15</w:t>
            </w:r>
          </w:p>
        </w:tc>
        <w:tc>
          <w:tcPr>
            <w:tcW w:w="2041" w:type="dxa"/>
            <w:gridSpan w:val="2"/>
            <w:tcBorders>
              <w:top w:val="single" w:color="auto" w:sz="4" w:space="0"/>
              <w:left w:val="nil"/>
              <w:bottom w:val="single" w:color="auto" w:sz="4" w:space="0"/>
              <w:right w:val="single" w:color="000000" w:sz="4" w:space="0"/>
            </w:tcBorders>
            <w:noWrap w:val="0"/>
            <w:vAlign w:val="center"/>
          </w:tcPr>
          <w:p w14:paraId="4099D36C">
            <w:pPr>
              <w:widowControl/>
              <w:spacing w:line="360" w:lineRule="exact"/>
              <w:jc w:val="center"/>
              <w:rPr>
                <w:rFonts w:hint="default"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15</w:t>
            </w:r>
          </w:p>
        </w:tc>
      </w:tr>
      <w:tr w14:paraId="6A74BED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3A3683A">
            <w:pPr>
              <w:widowControl/>
              <w:spacing w:line="360" w:lineRule="exact"/>
              <w:ind w:firstLine="400" w:firstLineChars="200"/>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3、</w:t>
            </w:r>
            <w:r>
              <w:rPr>
                <w:rFonts w:hint="eastAsia" w:ascii="仿宋_GB2312" w:hAnsi="仿宋_GB2312" w:eastAsia="仿宋_GB2312" w:cs="仿宋_GB2312"/>
                <w:sz w:val="20"/>
                <w:szCs w:val="20"/>
                <w:lang w:eastAsia="zh-CN"/>
              </w:rPr>
              <w:t>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340A504">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5E0173BA">
            <w:pPr>
              <w:widowControl/>
              <w:spacing w:line="360" w:lineRule="exact"/>
              <w:jc w:val="center"/>
              <w:rPr>
                <w:rFonts w:hint="default"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0.78</w:t>
            </w:r>
          </w:p>
        </w:tc>
        <w:tc>
          <w:tcPr>
            <w:tcW w:w="2041" w:type="dxa"/>
            <w:gridSpan w:val="2"/>
            <w:tcBorders>
              <w:top w:val="single" w:color="auto" w:sz="4" w:space="0"/>
              <w:left w:val="nil"/>
              <w:bottom w:val="single" w:color="auto" w:sz="4" w:space="0"/>
              <w:right w:val="single" w:color="000000" w:sz="4" w:space="0"/>
            </w:tcBorders>
            <w:noWrap w:val="0"/>
            <w:vAlign w:val="center"/>
          </w:tcPr>
          <w:p w14:paraId="56D44E33">
            <w:pPr>
              <w:widowControl/>
              <w:spacing w:line="360" w:lineRule="exact"/>
              <w:jc w:val="cente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0"/>
                <w:szCs w:val="20"/>
                <w:lang w:val="en-US" w:eastAsia="zh-CN" w:bidi="ar-SA"/>
                <w14:textFill>
                  <w14:solidFill>
                    <w14:schemeClr w14:val="tx1"/>
                  </w14:solidFill>
                </w14:textFill>
              </w:rPr>
              <w:t>10.05</w:t>
            </w:r>
          </w:p>
        </w:tc>
      </w:tr>
      <w:tr w14:paraId="3C5742D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CB0B218">
            <w:pPr>
              <w:widowControl/>
              <w:spacing w:line="360" w:lineRule="exact"/>
              <w:ind w:firstLine="400" w:firstLineChars="200"/>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4</w:t>
            </w: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2022年省级农村生态环境保护——农村生活吴硕治理</w:t>
            </w:r>
          </w:p>
        </w:tc>
        <w:tc>
          <w:tcPr>
            <w:tcW w:w="2038" w:type="dxa"/>
            <w:gridSpan w:val="2"/>
            <w:tcBorders>
              <w:top w:val="single" w:color="auto" w:sz="4" w:space="0"/>
              <w:left w:val="nil"/>
              <w:bottom w:val="single" w:color="auto" w:sz="4" w:space="0"/>
              <w:right w:val="single" w:color="000000" w:sz="4" w:space="0"/>
            </w:tcBorders>
            <w:noWrap w:val="0"/>
            <w:vAlign w:val="center"/>
          </w:tcPr>
          <w:p w14:paraId="287A5B0C">
            <w:pPr>
              <w:widowControl/>
              <w:spacing w:line="360" w:lineRule="exact"/>
              <w:jc w:val="center"/>
              <w:rPr>
                <w:rFonts w:hint="eastAsia"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4467AA78">
            <w:pPr>
              <w:widowControl/>
              <w:spacing w:line="360" w:lineRule="exact"/>
              <w:jc w:val="center"/>
              <w:rPr>
                <w:rFonts w:hint="eastAsia"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35B44C4">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20</w:t>
            </w:r>
          </w:p>
        </w:tc>
      </w:tr>
      <w:tr w14:paraId="390E192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49395C3">
            <w:pPr>
              <w:widowControl/>
              <w:spacing w:line="360" w:lineRule="exact"/>
              <w:ind w:firstLine="400" w:firstLineChars="200"/>
              <w:jc w:val="left"/>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5</w:t>
            </w: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2021年岳阳市农村环境综合整治资金</w:t>
            </w:r>
          </w:p>
        </w:tc>
        <w:tc>
          <w:tcPr>
            <w:tcW w:w="2038" w:type="dxa"/>
            <w:gridSpan w:val="2"/>
            <w:tcBorders>
              <w:top w:val="single" w:color="auto" w:sz="4" w:space="0"/>
              <w:left w:val="nil"/>
              <w:bottom w:val="single" w:color="auto" w:sz="4" w:space="0"/>
              <w:right w:val="single" w:color="000000" w:sz="4" w:space="0"/>
            </w:tcBorders>
            <w:noWrap w:val="0"/>
            <w:vAlign w:val="center"/>
          </w:tcPr>
          <w:p w14:paraId="3D6F80C8">
            <w:pPr>
              <w:widowControl/>
              <w:spacing w:line="360" w:lineRule="exact"/>
              <w:jc w:val="center"/>
              <w:rPr>
                <w:rFonts w:hint="eastAsia"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C1AA9CB">
            <w:pPr>
              <w:widowControl/>
              <w:spacing w:line="360" w:lineRule="exact"/>
              <w:jc w:val="center"/>
              <w:rPr>
                <w:rFonts w:hint="eastAsia"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64902C9">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5</w:t>
            </w:r>
          </w:p>
        </w:tc>
      </w:tr>
      <w:tr w14:paraId="1A48435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2A2F5B6">
            <w:pPr>
              <w:widowControl/>
              <w:spacing w:line="360" w:lineRule="exact"/>
              <w:ind w:firstLine="400" w:firstLineChars="200"/>
              <w:jc w:val="left"/>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6、2020年中央水污染防治装修资金</w:t>
            </w:r>
          </w:p>
        </w:tc>
        <w:tc>
          <w:tcPr>
            <w:tcW w:w="2038" w:type="dxa"/>
            <w:gridSpan w:val="2"/>
            <w:tcBorders>
              <w:top w:val="single" w:color="auto" w:sz="4" w:space="0"/>
              <w:left w:val="nil"/>
              <w:bottom w:val="single" w:color="auto" w:sz="4" w:space="0"/>
              <w:right w:val="single" w:color="000000" w:sz="4" w:space="0"/>
            </w:tcBorders>
            <w:noWrap w:val="0"/>
            <w:vAlign w:val="center"/>
          </w:tcPr>
          <w:p w14:paraId="189221F2">
            <w:pPr>
              <w:widowControl/>
              <w:spacing w:line="360" w:lineRule="exact"/>
              <w:jc w:val="center"/>
              <w:rPr>
                <w:rFonts w:hint="eastAsia"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3D63BB4B">
            <w:pPr>
              <w:widowControl/>
              <w:spacing w:line="360" w:lineRule="exact"/>
              <w:jc w:val="center"/>
              <w:rPr>
                <w:rFonts w:hint="eastAsia"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4E118173">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600</w:t>
            </w:r>
            <w:bookmarkStart w:id="0" w:name="_GoBack"/>
            <w:bookmarkEnd w:id="0"/>
          </w:p>
        </w:tc>
      </w:tr>
      <w:tr w14:paraId="373BE2CC">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7CCA023">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2EBA5525">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162.13</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9C96848">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28.04</w:t>
            </w:r>
          </w:p>
        </w:tc>
        <w:tc>
          <w:tcPr>
            <w:tcW w:w="2041" w:type="dxa"/>
            <w:gridSpan w:val="2"/>
            <w:tcBorders>
              <w:top w:val="single" w:color="auto" w:sz="4" w:space="0"/>
              <w:left w:val="nil"/>
              <w:bottom w:val="single" w:color="auto" w:sz="4" w:space="0"/>
              <w:right w:val="single" w:color="000000" w:sz="4" w:space="0"/>
            </w:tcBorders>
            <w:noWrap w:val="0"/>
            <w:vAlign w:val="center"/>
          </w:tcPr>
          <w:p w14:paraId="5BF848B6">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212.70</w:t>
            </w:r>
            <w:r>
              <w:rPr>
                <w:rFonts w:hint="eastAsia" w:ascii="仿宋_GB2312" w:hAnsi="仿宋_GB2312" w:eastAsia="仿宋_GB2312" w:cs="仿宋_GB2312"/>
                <w:color w:val="000000" w:themeColor="text1"/>
                <w:sz w:val="20"/>
                <w:szCs w:val="20"/>
                <w14:textFill>
                  <w14:solidFill>
                    <w14:schemeClr w14:val="tx1"/>
                  </w14:solidFill>
                </w14:textFill>
              </w:rPr>
              <w:t>　</w:t>
            </w:r>
          </w:p>
        </w:tc>
      </w:tr>
      <w:tr w14:paraId="3814CFE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7F3299B">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0580CB8A">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158.49</w:t>
            </w:r>
          </w:p>
        </w:tc>
        <w:tc>
          <w:tcPr>
            <w:tcW w:w="2240" w:type="dxa"/>
            <w:gridSpan w:val="2"/>
            <w:tcBorders>
              <w:top w:val="single" w:color="auto" w:sz="4" w:space="0"/>
              <w:left w:val="nil"/>
              <w:bottom w:val="single" w:color="auto" w:sz="4" w:space="0"/>
              <w:right w:val="single" w:color="000000" w:sz="4" w:space="0"/>
            </w:tcBorders>
            <w:noWrap w:val="0"/>
            <w:vAlign w:val="center"/>
          </w:tcPr>
          <w:p w14:paraId="28B16F2C">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24.74</w:t>
            </w:r>
          </w:p>
        </w:tc>
        <w:tc>
          <w:tcPr>
            <w:tcW w:w="2041" w:type="dxa"/>
            <w:gridSpan w:val="2"/>
            <w:tcBorders>
              <w:top w:val="single" w:color="auto" w:sz="4" w:space="0"/>
              <w:left w:val="nil"/>
              <w:bottom w:val="single" w:color="auto" w:sz="4" w:space="0"/>
              <w:right w:val="single" w:color="000000" w:sz="4" w:space="0"/>
            </w:tcBorders>
            <w:noWrap w:val="0"/>
            <w:vAlign w:val="center"/>
          </w:tcPr>
          <w:p w14:paraId="32783046">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205.58</w:t>
            </w:r>
          </w:p>
        </w:tc>
      </w:tr>
      <w:tr w14:paraId="40724E55">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1EB428D">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14:paraId="3EE8418E">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3.19</w:t>
            </w:r>
            <w:r>
              <w:rPr>
                <w:rFonts w:hint="eastAsia" w:ascii="仿宋_GB2312" w:hAnsi="仿宋_GB2312" w:eastAsia="仿宋_GB2312" w:cs="仿宋_GB2312"/>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5499EE7">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2.50</w:t>
            </w:r>
          </w:p>
        </w:tc>
        <w:tc>
          <w:tcPr>
            <w:tcW w:w="2041" w:type="dxa"/>
            <w:gridSpan w:val="2"/>
            <w:tcBorders>
              <w:top w:val="single" w:color="auto" w:sz="4" w:space="0"/>
              <w:left w:val="nil"/>
              <w:bottom w:val="single" w:color="auto" w:sz="4" w:space="0"/>
              <w:right w:val="single" w:color="000000" w:sz="4" w:space="0"/>
            </w:tcBorders>
            <w:noWrap w:val="0"/>
            <w:vAlign w:val="center"/>
          </w:tcPr>
          <w:p w14:paraId="7F96C834">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5.83</w:t>
            </w:r>
          </w:p>
        </w:tc>
      </w:tr>
      <w:tr w14:paraId="3F7B5706">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57EBDA3">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14:paraId="27F235DD">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0.45</w:t>
            </w:r>
          </w:p>
        </w:tc>
        <w:tc>
          <w:tcPr>
            <w:tcW w:w="2240" w:type="dxa"/>
            <w:gridSpan w:val="2"/>
            <w:tcBorders>
              <w:top w:val="single" w:color="auto" w:sz="4" w:space="0"/>
              <w:left w:val="nil"/>
              <w:bottom w:val="single" w:color="auto" w:sz="4" w:space="0"/>
              <w:right w:val="single" w:color="000000" w:sz="4" w:space="0"/>
            </w:tcBorders>
            <w:noWrap w:val="0"/>
            <w:vAlign w:val="center"/>
          </w:tcPr>
          <w:p w14:paraId="685007CD">
            <w:pPr>
              <w:widowControl/>
              <w:spacing w:line="360" w:lineRule="exact"/>
              <w:jc w:val="center"/>
              <w:rPr>
                <w:rFonts w:hint="default" w:ascii="仿宋_GB2312" w:hAnsi="仿宋_GB2312" w:eastAsia="仿宋_GB2312" w:cs="仿宋_GB2312"/>
                <w:color w:val="000000" w:themeColor="text1"/>
                <w:sz w:val="20"/>
                <w:szCs w:val="20"/>
                <w:lang w:val="en-US"/>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0.80</w:t>
            </w:r>
          </w:p>
        </w:tc>
        <w:tc>
          <w:tcPr>
            <w:tcW w:w="2041" w:type="dxa"/>
            <w:gridSpan w:val="2"/>
            <w:tcBorders>
              <w:top w:val="single" w:color="auto" w:sz="4" w:space="0"/>
              <w:left w:val="nil"/>
              <w:bottom w:val="single" w:color="auto" w:sz="4" w:space="0"/>
              <w:right w:val="single" w:color="000000" w:sz="4" w:space="0"/>
            </w:tcBorders>
            <w:noWrap w:val="0"/>
            <w:vAlign w:val="center"/>
          </w:tcPr>
          <w:p w14:paraId="2356D2EB">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1.29</w:t>
            </w:r>
          </w:p>
        </w:tc>
      </w:tr>
      <w:tr w14:paraId="2992CF55">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38336A9">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14:paraId="3679A396">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3EFF1A07">
            <w:pPr>
              <w:widowControl/>
              <w:spacing w:line="360" w:lineRule="exact"/>
              <w:jc w:val="center"/>
              <w:rPr>
                <w:rFonts w:hint="default" w:ascii="仿宋_GB2312" w:hAnsi="仿宋_GB2312" w:eastAsia="仿宋_GB2312" w:cs="仿宋_GB2312"/>
                <w:color w:val="000000" w:themeColor="text1"/>
                <w:sz w:val="20"/>
                <w:szCs w:val="20"/>
                <w:lang w:val="en-US" w:eastAsia="zh-CN"/>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227.67</w:t>
            </w:r>
          </w:p>
        </w:tc>
        <w:tc>
          <w:tcPr>
            <w:tcW w:w="2041" w:type="dxa"/>
            <w:gridSpan w:val="2"/>
            <w:tcBorders>
              <w:top w:val="single" w:color="auto" w:sz="4" w:space="0"/>
              <w:left w:val="nil"/>
              <w:bottom w:val="single" w:color="auto" w:sz="4" w:space="0"/>
              <w:right w:val="single" w:color="000000" w:sz="4" w:space="0"/>
            </w:tcBorders>
            <w:noWrap w:val="0"/>
            <w:vAlign w:val="center"/>
          </w:tcPr>
          <w:p w14:paraId="10D7077C">
            <w:pPr>
              <w:widowControl/>
              <w:spacing w:line="360" w:lineRule="exact"/>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lang w:val="en-US" w:eastAsia="zh-CN"/>
                <w14:textFill>
                  <w14:solidFill>
                    <w14:schemeClr w14:val="tx1"/>
                  </w14:solidFill>
                </w14:textFill>
              </w:rPr>
              <w:t>227.67</w:t>
            </w:r>
            <w:r>
              <w:rPr>
                <w:rFonts w:hint="eastAsia" w:ascii="仿宋_GB2312" w:hAnsi="仿宋_GB2312" w:eastAsia="仿宋_GB2312" w:cs="仿宋_GB2312"/>
                <w:color w:val="000000" w:themeColor="text1"/>
                <w:sz w:val="20"/>
                <w:szCs w:val="20"/>
                <w14:textFill>
                  <w14:solidFill>
                    <w14:schemeClr w14:val="tx1"/>
                  </w14:solidFill>
                </w14:textFill>
              </w:rPr>
              <w:t>　</w:t>
            </w:r>
          </w:p>
        </w:tc>
      </w:tr>
      <w:tr w14:paraId="7E48C19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D08C1AC">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14:paraId="6458E107">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3DE16D31">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79EB36EE">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14:paraId="56656734">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14:paraId="701B89DD">
            <w:pPr>
              <w:widowControl/>
              <w:spacing w:line="360" w:lineRule="exact"/>
              <w:jc w:val="center"/>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rPr>
              <w:t>楼堂馆所控制情况</w:t>
            </w:r>
          </w:p>
          <w:p w14:paraId="27BCC65C">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（202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年完工项目）</w:t>
            </w:r>
          </w:p>
        </w:tc>
        <w:tc>
          <w:tcPr>
            <w:tcW w:w="1189" w:type="dxa"/>
            <w:tcBorders>
              <w:top w:val="nil"/>
              <w:left w:val="nil"/>
              <w:bottom w:val="single" w:color="auto" w:sz="4" w:space="0"/>
              <w:right w:val="single" w:color="auto" w:sz="4" w:space="0"/>
            </w:tcBorders>
            <w:noWrap w:val="0"/>
            <w:vAlign w:val="center"/>
          </w:tcPr>
          <w:p w14:paraId="4F040F84">
            <w:pPr>
              <w:widowControl/>
              <w:spacing w:line="360" w:lineRule="exact"/>
              <w:jc w:val="center"/>
              <w:rPr>
                <w:rFonts w:hint="eastAsia" w:ascii="仿宋_GB2312" w:hAnsi="仿宋_GB2312" w:eastAsia="仿宋_GB2312" w:cs="仿宋_GB2312"/>
                <w:bCs/>
                <w:sz w:val="20"/>
                <w:szCs w:val="20"/>
                <w:lang w:eastAsia="zh-CN"/>
              </w:rPr>
            </w:pPr>
            <w:r>
              <w:rPr>
                <w:rFonts w:hint="eastAsia" w:ascii="仿宋_GB2312" w:hAnsi="仿宋_GB2312" w:eastAsia="仿宋_GB2312" w:cs="仿宋_GB2312"/>
                <w:bCs/>
                <w:sz w:val="20"/>
                <w:szCs w:val="20"/>
              </w:rPr>
              <w:t>批复规模</w:t>
            </w:r>
          </w:p>
          <w:p w14:paraId="3D412C72">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w:t>
            </w:r>
          </w:p>
        </w:tc>
        <w:tc>
          <w:tcPr>
            <w:tcW w:w="849" w:type="dxa"/>
            <w:tcBorders>
              <w:top w:val="nil"/>
              <w:left w:val="nil"/>
              <w:bottom w:val="single" w:color="auto" w:sz="4" w:space="0"/>
              <w:right w:val="single" w:color="auto" w:sz="4" w:space="0"/>
            </w:tcBorders>
            <w:noWrap w:val="0"/>
            <w:vAlign w:val="center"/>
          </w:tcPr>
          <w:p w14:paraId="54C7FCD2">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实际规模（㎡）</w:t>
            </w:r>
          </w:p>
        </w:tc>
        <w:tc>
          <w:tcPr>
            <w:tcW w:w="1129" w:type="dxa"/>
            <w:tcBorders>
              <w:top w:val="nil"/>
              <w:left w:val="nil"/>
              <w:bottom w:val="single" w:color="auto" w:sz="4" w:space="0"/>
              <w:right w:val="single" w:color="auto" w:sz="4" w:space="0"/>
            </w:tcBorders>
            <w:noWrap w:val="0"/>
            <w:vAlign w:val="center"/>
          </w:tcPr>
          <w:p w14:paraId="11913AFA">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规模控制率</w:t>
            </w:r>
          </w:p>
        </w:tc>
        <w:tc>
          <w:tcPr>
            <w:tcW w:w="1111" w:type="dxa"/>
            <w:tcBorders>
              <w:top w:val="nil"/>
              <w:left w:val="nil"/>
              <w:bottom w:val="single" w:color="auto" w:sz="4" w:space="0"/>
              <w:right w:val="single" w:color="auto" w:sz="4" w:space="0"/>
            </w:tcBorders>
            <w:noWrap w:val="0"/>
            <w:vAlign w:val="center"/>
          </w:tcPr>
          <w:p w14:paraId="72FC9E4E">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预算投资（万元）</w:t>
            </w:r>
          </w:p>
        </w:tc>
        <w:tc>
          <w:tcPr>
            <w:tcW w:w="1081" w:type="dxa"/>
            <w:tcBorders>
              <w:top w:val="nil"/>
              <w:left w:val="nil"/>
              <w:bottom w:val="single" w:color="auto" w:sz="4" w:space="0"/>
              <w:right w:val="single" w:color="auto" w:sz="4" w:space="0"/>
            </w:tcBorders>
            <w:noWrap w:val="0"/>
            <w:vAlign w:val="center"/>
          </w:tcPr>
          <w:p w14:paraId="54E8A445">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实际投资（万元）</w:t>
            </w:r>
          </w:p>
        </w:tc>
        <w:tc>
          <w:tcPr>
            <w:tcW w:w="960" w:type="dxa"/>
            <w:tcBorders>
              <w:top w:val="nil"/>
              <w:left w:val="nil"/>
              <w:bottom w:val="single" w:color="auto" w:sz="4" w:space="0"/>
              <w:right w:val="single" w:color="auto" w:sz="4" w:space="0"/>
            </w:tcBorders>
            <w:noWrap w:val="0"/>
            <w:vAlign w:val="center"/>
          </w:tcPr>
          <w:p w14:paraId="3F35A2BD">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投资概算控制率</w:t>
            </w:r>
          </w:p>
        </w:tc>
      </w:tr>
      <w:tr w14:paraId="68690F05">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14:paraId="21DB511A">
            <w:pPr>
              <w:widowControl/>
              <w:spacing w:line="360" w:lineRule="exact"/>
              <w:jc w:val="left"/>
              <w:rPr>
                <w:rFonts w:hint="eastAsia" w:ascii="仿宋_GB2312" w:hAnsi="仿宋_GB2312" w:eastAsia="仿宋_GB2312" w:cs="仿宋_GB2312"/>
                <w:sz w:val="20"/>
                <w:szCs w:val="20"/>
              </w:rPr>
            </w:pPr>
          </w:p>
        </w:tc>
        <w:tc>
          <w:tcPr>
            <w:tcW w:w="1189" w:type="dxa"/>
            <w:tcBorders>
              <w:top w:val="nil"/>
              <w:left w:val="nil"/>
              <w:bottom w:val="single" w:color="auto" w:sz="4" w:space="0"/>
              <w:right w:val="single" w:color="auto" w:sz="4" w:space="0"/>
            </w:tcBorders>
            <w:noWrap w:val="0"/>
            <w:vAlign w:val="center"/>
          </w:tcPr>
          <w:p w14:paraId="1B650C1C">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849" w:type="dxa"/>
            <w:tcBorders>
              <w:top w:val="nil"/>
              <w:left w:val="nil"/>
              <w:bottom w:val="single" w:color="auto" w:sz="4" w:space="0"/>
              <w:right w:val="single" w:color="auto" w:sz="4" w:space="0"/>
            </w:tcBorders>
            <w:noWrap w:val="0"/>
            <w:vAlign w:val="center"/>
          </w:tcPr>
          <w:p w14:paraId="43BE1E67">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129" w:type="dxa"/>
            <w:tcBorders>
              <w:top w:val="nil"/>
              <w:left w:val="nil"/>
              <w:bottom w:val="single" w:color="auto" w:sz="4" w:space="0"/>
              <w:right w:val="single" w:color="auto" w:sz="4" w:space="0"/>
            </w:tcBorders>
            <w:noWrap w:val="0"/>
            <w:vAlign w:val="center"/>
          </w:tcPr>
          <w:p w14:paraId="426722B8">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111" w:type="dxa"/>
            <w:tcBorders>
              <w:top w:val="nil"/>
              <w:left w:val="nil"/>
              <w:bottom w:val="single" w:color="auto" w:sz="4" w:space="0"/>
              <w:right w:val="single" w:color="auto" w:sz="4" w:space="0"/>
            </w:tcBorders>
            <w:noWrap w:val="0"/>
            <w:vAlign w:val="center"/>
          </w:tcPr>
          <w:p w14:paraId="177CA214">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081" w:type="dxa"/>
            <w:tcBorders>
              <w:top w:val="nil"/>
              <w:left w:val="nil"/>
              <w:bottom w:val="single" w:color="auto" w:sz="4" w:space="0"/>
              <w:right w:val="single" w:color="auto" w:sz="4" w:space="0"/>
            </w:tcBorders>
            <w:noWrap w:val="0"/>
            <w:vAlign w:val="center"/>
          </w:tcPr>
          <w:p w14:paraId="47F7EB3B">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960" w:type="dxa"/>
            <w:tcBorders>
              <w:top w:val="nil"/>
              <w:left w:val="nil"/>
              <w:bottom w:val="single" w:color="auto" w:sz="4" w:space="0"/>
              <w:right w:val="single" w:color="auto" w:sz="4" w:space="0"/>
            </w:tcBorders>
            <w:noWrap w:val="0"/>
            <w:vAlign w:val="center"/>
          </w:tcPr>
          <w:p w14:paraId="2962CDF2">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r>
      <w:tr w14:paraId="19719F7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865544B">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14:paraId="3D5D9CC3">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bl>
    <w:p w14:paraId="4608704D">
      <w:pPr>
        <w:widowControl/>
        <w:spacing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说明：“项目支出”需要填报基本支出以外的所有项目支出情况，“公用经费”填报基本支出中的一般商品和服务支出。</w:t>
      </w:r>
    </w:p>
    <w:p w14:paraId="236C29CC">
      <w:pPr>
        <w:widowControl/>
        <w:spacing w:afterLines="0" w:line="400" w:lineRule="exact"/>
        <w:jc w:val="left"/>
        <w:rPr>
          <w:rFonts w:hint="default" w:ascii="Times New Roman" w:hAnsi="Times New Roman" w:eastAsia="仿宋_GB2312" w:cs="Times New Roman"/>
          <w:sz w:val="22"/>
        </w:rPr>
      </w:pPr>
    </w:p>
    <w:p w14:paraId="1C6299C0">
      <w:pPr>
        <w:widowControl/>
        <w:spacing w:after="0" w:afterLines="0" w:line="400" w:lineRule="exact"/>
        <w:jc w:val="left"/>
        <w:rPr>
          <w:rFonts w:hint="eastAsia" w:ascii="黑体" w:hAnsi="黑体" w:eastAsia="黑体" w:cs="黑体"/>
          <w:sz w:val="32"/>
          <w:szCs w:val="32"/>
          <w:lang w:eastAsia="zh-CN"/>
        </w:rPr>
      </w:pPr>
      <w:r>
        <w:rPr>
          <w:rFonts w:hint="default" w:ascii="Times New Roman" w:hAnsi="Times New Roman" w:eastAsia="仿宋_GB2312" w:cs="Times New Roman"/>
          <w:sz w:val="22"/>
        </w:rPr>
        <w:t>填表人：</w:t>
      </w:r>
      <w:r>
        <w:rPr>
          <w:rFonts w:hint="eastAsia" w:ascii="Times New Roman" w:hAnsi="Times New Roman" w:eastAsia="仿宋_GB2312" w:cs="Times New Roman"/>
          <w:sz w:val="22"/>
          <w:lang w:val="en-US" w:eastAsia="zh-CN"/>
        </w:rPr>
        <w:t xml:space="preserve">  </w:t>
      </w:r>
      <w:r>
        <w:rPr>
          <w:rFonts w:hint="default" w:ascii="Times New Roman" w:hAnsi="Times New Roman" w:eastAsia="仿宋_GB2312" w:cs="Times New Roman"/>
          <w:sz w:val="22"/>
        </w:rPr>
        <w:t xml:space="preserve">   </w:t>
      </w:r>
      <w:r>
        <w:rPr>
          <w:rFonts w:hint="eastAsia" w:ascii="Times New Roman" w:hAnsi="Times New Roman" w:eastAsia="仿宋_GB2312" w:cs="Times New Roman"/>
          <w:sz w:val="22"/>
          <w:lang w:val="en-US" w:eastAsia="zh-CN"/>
        </w:rPr>
        <w:t xml:space="preserve"> </w:t>
      </w:r>
      <w:r>
        <w:rPr>
          <w:rFonts w:hint="default" w:ascii="Times New Roman" w:hAnsi="Times New Roman" w:eastAsia="仿宋_GB2312" w:cs="Times New Roman"/>
          <w:sz w:val="22"/>
        </w:rPr>
        <w:t xml:space="preserve">填报日期：  </w:t>
      </w:r>
      <w:r>
        <w:rPr>
          <w:rFonts w:hint="eastAsia" w:ascii="Times New Roman" w:hAnsi="Times New Roman" w:eastAsia="仿宋_GB2312" w:cs="Times New Roman"/>
          <w:sz w:val="22"/>
          <w:lang w:val="en-US" w:eastAsia="zh-CN"/>
        </w:rPr>
        <w:t xml:space="preserve">       </w:t>
      </w:r>
      <w:r>
        <w:rPr>
          <w:rFonts w:hint="default" w:ascii="Times New Roman" w:hAnsi="Times New Roman" w:eastAsia="仿宋_GB2312" w:cs="Times New Roman"/>
          <w:sz w:val="22"/>
        </w:rPr>
        <w:t>联系电话：</w:t>
      </w:r>
      <w:r>
        <w:rPr>
          <w:rFonts w:hint="eastAsia" w:ascii="Times New Roman" w:hAnsi="Times New Roman" w:eastAsia="仿宋_GB2312" w:cs="Times New Roman"/>
          <w:sz w:val="22"/>
          <w:lang w:val="en-US" w:eastAsia="zh-CN"/>
        </w:rPr>
        <w:t xml:space="preserve">       </w:t>
      </w:r>
      <w:r>
        <w:rPr>
          <w:rFonts w:ascii="仿宋" w:hAnsi="仿宋" w:eastAsia="仿宋" w:cs="仿宋"/>
          <w:spacing w:val="3"/>
          <w:sz w:val="22"/>
          <w:szCs w:val="22"/>
        </w:rPr>
        <w:t xml:space="preserve"> </w:t>
      </w:r>
      <w:r>
        <w:rPr>
          <w:rFonts w:hint="default" w:ascii="Times New Roman" w:hAnsi="Times New Roman" w:eastAsia="仿宋_GB2312" w:cs="Times New Roman"/>
          <w:sz w:val="22"/>
        </w:rPr>
        <w:t xml:space="preserve">   单位负责人签字：</w:t>
      </w:r>
      <w:r>
        <w:rPr>
          <w:rFonts w:hint="default" w:ascii="Times New Roman" w:hAnsi="Times New Roman" w:eastAsia="仿宋_GB2312" w:cs="Times New Roman"/>
          <w:sz w:val="22"/>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14:paraId="6AC47A77">
      <w:pPr>
        <w:widowControl/>
        <w:spacing w:after="120" w:afterLines="50"/>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2</w:t>
      </w:r>
      <w:r>
        <w:rPr>
          <w:rFonts w:hint="eastAsia" w:ascii="方正小标宋简体" w:hAnsi="方正小标宋简体" w:eastAsia="方正小标宋简体" w:cs="方正小标宋简体"/>
          <w:color w:val="000000"/>
          <w:sz w:val="36"/>
          <w:szCs w:val="36"/>
        </w:rPr>
        <w:t>年度部门整体支出绩效自评表</w:t>
      </w:r>
    </w:p>
    <w:tbl>
      <w:tblPr>
        <w:tblStyle w:val="5"/>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14:paraId="657BE179">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06F1694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14:paraId="6043F2AE">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岳阳市生态环境局君山分局</w:t>
            </w:r>
            <w:r>
              <w:rPr>
                <w:rFonts w:hint="eastAsia" w:ascii="仿宋_GB2312" w:hAnsi="仿宋_GB2312" w:eastAsia="仿宋_GB2312" w:cs="仿宋_GB2312"/>
                <w:color w:val="000000"/>
                <w:sz w:val="20"/>
                <w:szCs w:val="20"/>
              </w:rPr>
              <w:t>　</w:t>
            </w:r>
          </w:p>
        </w:tc>
      </w:tr>
      <w:tr w14:paraId="0B2B6664">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2903381E">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14:paraId="074B696D">
            <w:pPr>
              <w:widowControl/>
              <w:spacing w:line="240" w:lineRule="exact"/>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算申请</w:t>
            </w:r>
          </w:p>
          <w:p w14:paraId="7820105F">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2114" w:type="dxa"/>
            <w:gridSpan w:val="2"/>
            <w:tcBorders>
              <w:top w:val="nil"/>
              <w:left w:val="nil"/>
              <w:bottom w:val="single" w:color="auto" w:sz="4" w:space="0"/>
              <w:right w:val="single" w:color="auto" w:sz="4" w:space="0"/>
            </w:tcBorders>
            <w:noWrap w:val="0"/>
            <w:vAlign w:val="center"/>
          </w:tcPr>
          <w:p w14:paraId="3D709464">
            <w:pPr>
              <w:spacing w:line="240" w:lineRule="exact"/>
              <w:jc w:val="center"/>
              <w:rPr>
                <w:rFonts w:hint="eastAsia" w:ascii="仿宋_GB2312" w:hAnsi="仿宋_GB2312" w:eastAsia="仿宋_GB2312" w:cs="仿宋_GB2312"/>
                <w:sz w:val="20"/>
                <w:szCs w:val="20"/>
              </w:rPr>
            </w:pPr>
          </w:p>
        </w:tc>
        <w:tc>
          <w:tcPr>
            <w:tcW w:w="1270" w:type="dxa"/>
            <w:tcBorders>
              <w:top w:val="nil"/>
              <w:left w:val="nil"/>
              <w:bottom w:val="single" w:color="auto" w:sz="4" w:space="0"/>
              <w:right w:val="single" w:color="auto" w:sz="4" w:space="0"/>
            </w:tcBorders>
            <w:noWrap w:val="0"/>
            <w:vAlign w:val="center"/>
          </w:tcPr>
          <w:p w14:paraId="61D80698">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311" w:type="dxa"/>
            <w:tcBorders>
              <w:top w:val="nil"/>
              <w:left w:val="nil"/>
              <w:bottom w:val="single" w:color="auto" w:sz="4" w:space="0"/>
              <w:right w:val="single" w:color="auto" w:sz="4" w:space="0"/>
            </w:tcBorders>
            <w:noWrap w:val="0"/>
            <w:vAlign w:val="center"/>
          </w:tcPr>
          <w:p w14:paraId="0F9DF027">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269" w:type="dxa"/>
            <w:tcBorders>
              <w:top w:val="nil"/>
              <w:left w:val="nil"/>
              <w:bottom w:val="single" w:color="auto" w:sz="4" w:space="0"/>
              <w:right w:val="single" w:color="auto" w:sz="4" w:space="0"/>
            </w:tcBorders>
            <w:noWrap w:val="0"/>
            <w:vAlign w:val="center"/>
          </w:tcPr>
          <w:p w14:paraId="242629C2">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16" w:type="dxa"/>
            <w:tcBorders>
              <w:top w:val="nil"/>
              <w:left w:val="nil"/>
              <w:bottom w:val="single" w:color="auto" w:sz="4" w:space="0"/>
              <w:right w:val="single" w:color="auto" w:sz="4" w:space="0"/>
            </w:tcBorders>
            <w:noWrap w:val="0"/>
            <w:vAlign w:val="center"/>
          </w:tcPr>
          <w:p w14:paraId="1C8FB001">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73" w:type="dxa"/>
            <w:tcBorders>
              <w:top w:val="nil"/>
              <w:left w:val="nil"/>
              <w:bottom w:val="single" w:color="auto" w:sz="4" w:space="0"/>
              <w:right w:val="single" w:color="auto" w:sz="4" w:space="0"/>
            </w:tcBorders>
            <w:noWrap w:val="0"/>
            <w:vAlign w:val="center"/>
          </w:tcPr>
          <w:p w14:paraId="51443D44">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46" w:type="dxa"/>
            <w:tcBorders>
              <w:top w:val="nil"/>
              <w:left w:val="nil"/>
              <w:bottom w:val="single" w:color="auto" w:sz="4" w:space="0"/>
              <w:right w:val="single" w:color="auto" w:sz="4" w:space="0"/>
            </w:tcBorders>
            <w:noWrap w:val="0"/>
            <w:vAlign w:val="center"/>
          </w:tcPr>
          <w:p w14:paraId="4122667E">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14:paraId="0BC8FAA8">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14:paraId="3D5009E7">
            <w:pPr>
              <w:widowControl/>
              <w:spacing w:line="240" w:lineRule="exact"/>
              <w:jc w:val="center"/>
              <w:rPr>
                <w:rFonts w:hint="eastAsia" w:ascii="仿宋_GB2312" w:hAnsi="仿宋_GB2312" w:eastAsia="仿宋_GB2312" w:cs="仿宋_GB2312"/>
                <w:color w:val="000000"/>
                <w:sz w:val="20"/>
                <w:szCs w:val="20"/>
              </w:rPr>
            </w:pPr>
          </w:p>
        </w:tc>
        <w:tc>
          <w:tcPr>
            <w:tcW w:w="2114" w:type="dxa"/>
            <w:gridSpan w:val="2"/>
            <w:tcBorders>
              <w:top w:val="nil"/>
              <w:left w:val="nil"/>
              <w:bottom w:val="single" w:color="auto" w:sz="4" w:space="0"/>
              <w:right w:val="single" w:color="auto" w:sz="4" w:space="0"/>
            </w:tcBorders>
            <w:noWrap w:val="0"/>
            <w:vAlign w:val="center"/>
          </w:tcPr>
          <w:p w14:paraId="22A15F2B">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270" w:type="dxa"/>
            <w:tcBorders>
              <w:top w:val="nil"/>
              <w:left w:val="nil"/>
              <w:bottom w:val="single" w:color="auto" w:sz="4" w:space="0"/>
              <w:right w:val="single" w:color="auto" w:sz="4" w:space="0"/>
            </w:tcBorders>
            <w:noWrap w:val="0"/>
            <w:vAlign w:val="center"/>
          </w:tcPr>
          <w:p w14:paraId="2BA3F3A3">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168.58</w:t>
            </w:r>
          </w:p>
        </w:tc>
        <w:tc>
          <w:tcPr>
            <w:tcW w:w="1311" w:type="dxa"/>
            <w:tcBorders>
              <w:top w:val="nil"/>
              <w:left w:val="nil"/>
              <w:bottom w:val="single" w:color="auto" w:sz="4" w:space="0"/>
              <w:right w:val="single" w:color="auto" w:sz="4" w:space="0"/>
            </w:tcBorders>
            <w:noWrap w:val="0"/>
            <w:vAlign w:val="center"/>
          </w:tcPr>
          <w:p w14:paraId="0E467588">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1492.9</w:t>
            </w:r>
          </w:p>
        </w:tc>
        <w:tc>
          <w:tcPr>
            <w:tcW w:w="1269" w:type="dxa"/>
            <w:tcBorders>
              <w:top w:val="nil"/>
              <w:left w:val="nil"/>
              <w:bottom w:val="single" w:color="auto" w:sz="4" w:space="0"/>
              <w:right w:val="single" w:color="auto" w:sz="4" w:space="0"/>
            </w:tcBorders>
            <w:noWrap w:val="0"/>
            <w:vAlign w:val="center"/>
          </w:tcPr>
          <w:p w14:paraId="3EC3C6D9">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1092.9</w:t>
            </w:r>
          </w:p>
        </w:tc>
        <w:tc>
          <w:tcPr>
            <w:tcW w:w="716" w:type="dxa"/>
            <w:tcBorders>
              <w:top w:val="nil"/>
              <w:left w:val="nil"/>
              <w:bottom w:val="single" w:color="auto" w:sz="4" w:space="0"/>
              <w:right w:val="single" w:color="auto" w:sz="4" w:space="0"/>
            </w:tcBorders>
            <w:noWrap w:val="0"/>
            <w:vAlign w:val="center"/>
          </w:tcPr>
          <w:p w14:paraId="13E487D4">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873" w:type="dxa"/>
            <w:tcBorders>
              <w:top w:val="nil"/>
              <w:left w:val="nil"/>
              <w:bottom w:val="single" w:color="auto" w:sz="4" w:space="0"/>
              <w:right w:val="single" w:color="auto" w:sz="4" w:space="0"/>
            </w:tcBorders>
            <w:noWrap w:val="0"/>
            <w:vAlign w:val="center"/>
          </w:tcPr>
          <w:p w14:paraId="2EDE720E">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73%</w:t>
            </w:r>
          </w:p>
        </w:tc>
        <w:tc>
          <w:tcPr>
            <w:tcW w:w="1446" w:type="dxa"/>
            <w:tcBorders>
              <w:top w:val="nil"/>
              <w:left w:val="nil"/>
              <w:bottom w:val="single" w:color="auto" w:sz="4" w:space="0"/>
              <w:right w:val="single" w:color="auto" w:sz="4" w:space="0"/>
            </w:tcBorders>
            <w:noWrap w:val="0"/>
            <w:vAlign w:val="center"/>
          </w:tcPr>
          <w:p w14:paraId="0FE4ECF6">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9</w:t>
            </w:r>
          </w:p>
        </w:tc>
      </w:tr>
      <w:tr w14:paraId="155A2C5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DC37C82">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118DF8BE">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按收入性质分：</w:t>
            </w:r>
            <w:r>
              <w:rPr>
                <w:rFonts w:hint="eastAsia" w:ascii="仿宋_GB2312" w:hAnsi="仿宋_GB2312" w:eastAsia="仿宋_GB2312" w:cs="仿宋_GB2312"/>
                <w:color w:val="000000"/>
                <w:sz w:val="20"/>
                <w:szCs w:val="20"/>
                <w:lang w:val="en-US" w:eastAsia="zh-CN"/>
              </w:rPr>
              <w:t>1447.88</w:t>
            </w:r>
          </w:p>
        </w:tc>
        <w:tc>
          <w:tcPr>
            <w:tcW w:w="4304" w:type="dxa"/>
            <w:gridSpan w:val="4"/>
            <w:tcBorders>
              <w:top w:val="nil"/>
              <w:left w:val="nil"/>
              <w:bottom w:val="single" w:color="auto" w:sz="4" w:space="0"/>
              <w:right w:val="single" w:color="auto" w:sz="4" w:space="0"/>
            </w:tcBorders>
            <w:noWrap w:val="0"/>
            <w:vAlign w:val="center"/>
          </w:tcPr>
          <w:p w14:paraId="66AEF4B7">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按支出性质分：</w:t>
            </w:r>
            <w:r>
              <w:rPr>
                <w:rFonts w:hint="eastAsia" w:ascii="仿宋_GB2312" w:hAnsi="仿宋_GB2312" w:eastAsia="仿宋_GB2312" w:cs="仿宋_GB2312"/>
                <w:color w:val="000000"/>
                <w:sz w:val="20"/>
                <w:szCs w:val="20"/>
                <w:lang w:val="en-US" w:eastAsia="zh-CN"/>
              </w:rPr>
              <w:t>1092.90</w:t>
            </w:r>
          </w:p>
        </w:tc>
      </w:tr>
      <w:tr w14:paraId="48168D9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5AE8C62">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4A2C31F3">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xml:space="preserve">  其中：  一般公共预算：</w:t>
            </w:r>
            <w:r>
              <w:rPr>
                <w:rFonts w:hint="eastAsia" w:ascii="仿宋_GB2312" w:hAnsi="仿宋_GB2312" w:eastAsia="仿宋_GB2312" w:cs="仿宋_GB2312"/>
                <w:color w:val="000000"/>
                <w:sz w:val="20"/>
                <w:szCs w:val="20"/>
                <w:lang w:val="en-US" w:eastAsia="zh-CN"/>
              </w:rPr>
              <w:t>248.40</w:t>
            </w:r>
          </w:p>
        </w:tc>
        <w:tc>
          <w:tcPr>
            <w:tcW w:w="4304" w:type="dxa"/>
            <w:gridSpan w:val="4"/>
            <w:tcBorders>
              <w:top w:val="nil"/>
              <w:left w:val="nil"/>
              <w:bottom w:val="single" w:color="auto" w:sz="4" w:space="0"/>
              <w:right w:val="single" w:color="auto" w:sz="4" w:space="0"/>
            </w:tcBorders>
            <w:noWrap w:val="0"/>
            <w:vAlign w:val="center"/>
          </w:tcPr>
          <w:p w14:paraId="11D13B6F">
            <w:pPr>
              <w:widowControl/>
              <w:spacing w:line="240" w:lineRule="exact"/>
              <w:jc w:val="left"/>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rPr>
              <w:t>其中：基本支出：</w:t>
            </w:r>
            <w:r>
              <w:rPr>
                <w:rFonts w:hint="eastAsia" w:ascii="仿宋_GB2312" w:hAnsi="仿宋_GB2312" w:eastAsia="仿宋_GB2312" w:cs="仿宋_GB2312"/>
                <w:color w:val="000000"/>
                <w:sz w:val="20"/>
                <w:szCs w:val="20"/>
                <w:lang w:val="en-US" w:eastAsia="zh-CN"/>
              </w:rPr>
              <w:t>416.85</w:t>
            </w:r>
          </w:p>
        </w:tc>
      </w:tr>
      <w:tr w14:paraId="7A165DD2">
        <w:tblPrEx>
          <w:tblCellMar>
            <w:top w:w="0" w:type="dxa"/>
            <w:left w:w="108" w:type="dxa"/>
            <w:bottom w:w="0" w:type="dxa"/>
            <w:right w:w="108" w:type="dxa"/>
          </w:tblCellMar>
        </w:tblPrEx>
        <w:trPr>
          <w:trHeight w:val="237" w:hRule="atLeast"/>
          <w:jc w:val="center"/>
        </w:trPr>
        <w:tc>
          <w:tcPr>
            <w:tcW w:w="1080" w:type="dxa"/>
            <w:vMerge w:val="continue"/>
            <w:tcBorders>
              <w:left w:val="single" w:color="auto" w:sz="4" w:space="0"/>
              <w:right w:val="single" w:color="auto" w:sz="4" w:space="0"/>
            </w:tcBorders>
            <w:noWrap w:val="0"/>
            <w:vAlign w:val="center"/>
          </w:tcPr>
          <w:p w14:paraId="0DE60A9F">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71313F4D">
            <w:pPr>
              <w:widowControl/>
              <w:spacing w:line="240" w:lineRule="exact"/>
              <w:ind w:firstLine="800" w:firstLineChars="40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w:t>
            </w:r>
          </w:p>
        </w:tc>
        <w:tc>
          <w:tcPr>
            <w:tcW w:w="4304" w:type="dxa"/>
            <w:gridSpan w:val="4"/>
            <w:tcBorders>
              <w:top w:val="nil"/>
              <w:left w:val="nil"/>
              <w:bottom w:val="single" w:color="auto" w:sz="4" w:space="0"/>
              <w:right w:val="single" w:color="auto" w:sz="4" w:space="0"/>
            </w:tcBorders>
            <w:noWrap w:val="0"/>
            <w:vAlign w:val="center"/>
          </w:tcPr>
          <w:p w14:paraId="5FBDD74C">
            <w:pPr>
              <w:widowControl/>
              <w:spacing w:line="240" w:lineRule="exact"/>
              <w:ind w:firstLine="600" w:firstLineChars="3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项目支出：</w:t>
            </w:r>
            <w:r>
              <w:rPr>
                <w:rFonts w:hint="eastAsia" w:ascii="仿宋_GB2312" w:hAnsi="仿宋_GB2312" w:eastAsia="仿宋_GB2312" w:cs="仿宋_GB2312"/>
                <w:color w:val="000000"/>
                <w:sz w:val="20"/>
                <w:szCs w:val="20"/>
                <w:lang w:val="en-US" w:eastAsia="zh-CN"/>
              </w:rPr>
              <w:t>676.05</w:t>
            </w:r>
          </w:p>
        </w:tc>
      </w:tr>
      <w:tr w14:paraId="4672F62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35BACBF">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244FF95E">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14:paraId="7113E61A">
            <w:pPr>
              <w:widowControl/>
              <w:spacing w:line="240" w:lineRule="exact"/>
              <w:jc w:val="left"/>
              <w:rPr>
                <w:rFonts w:hint="eastAsia" w:ascii="仿宋_GB2312" w:hAnsi="仿宋_GB2312" w:eastAsia="仿宋_GB2312" w:cs="仿宋_GB2312"/>
                <w:color w:val="000000"/>
                <w:sz w:val="20"/>
                <w:szCs w:val="20"/>
              </w:rPr>
            </w:pPr>
          </w:p>
        </w:tc>
      </w:tr>
      <w:tr w14:paraId="2092FEF0">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14:paraId="3D7CAF85">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01303E22">
            <w:pPr>
              <w:widowControl/>
              <w:spacing w:line="240" w:lineRule="exact"/>
              <w:ind w:firstLine="1400" w:firstLineChars="7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其他资金：</w:t>
            </w:r>
            <w:r>
              <w:rPr>
                <w:rFonts w:hint="eastAsia" w:ascii="仿宋_GB2312" w:hAnsi="仿宋_GB2312" w:eastAsia="仿宋_GB2312" w:cs="仿宋_GB2312"/>
                <w:color w:val="000000"/>
                <w:sz w:val="20"/>
                <w:szCs w:val="20"/>
                <w:lang w:val="en-US" w:eastAsia="zh-CN"/>
              </w:rPr>
              <w:t>1199.48</w:t>
            </w:r>
          </w:p>
        </w:tc>
        <w:tc>
          <w:tcPr>
            <w:tcW w:w="4304" w:type="dxa"/>
            <w:gridSpan w:val="4"/>
            <w:tcBorders>
              <w:top w:val="nil"/>
              <w:left w:val="nil"/>
              <w:bottom w:val="single" w:color="auto" w:sz="4" w:space="0"/>
              <w:right w:val="single" w:color="auto" w:sz="4" w:space="0"/>
            </w:tcBorders>
            <w:noWrap w:val="0"/>
            <w:vAlign w:val="center"/>
          </w:tcPr>
          <w:p w14:paraId="538EA0CE">
            <w:pPr>
              <w:widowControl/>
              <w:spacing w:line="240" w:lineRule="exact"/>
              <w:jc w:val="left"/>
              <w:rPr>
                <w:rFonts w:hint="eastAsia" w:ascii="仿宋_GB2312" w:hAnsi="仿宋_GB2312" w:eastAsia="仿宋_GB2312" w:cs="仿宋_GB2312"/>
                <w:color w:val="000000"/>
                <w:sz w:val="20"/>
                <w:szCs w:val="20"/>
              </w:rPr>
            </w:pPr>
          </w:p>
        </w:tc>
      </w:tr>
      <w:tr w14:paraId="46C78F73">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4D924742">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14:paraId="4103FEC3">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14:paraId="58FB387C">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14:paraId="79E4FAC8">
        <w:tblPrEx>
          <w:tblCellMar>
            <w:top w:w="0" w:type="dxa"/>
            <w:left w:w="108" w:type="dxa"/>
            <w:bottom w:w="0" w:type="dxa"/>
            <w:right w:w="108" w:type="dxa"/>
          </w:tblCellMar>
        </w:tblPrEx>
        <w:trPr>
          <w:trHeight w:val="1010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72AD07B">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single" w:color="auto" w:sz="4" w:space="0"/>
              <w:left w:val="nil"/>
              <w:bottom w:val="single" w:color="auto" w:sz="4" w:space="0"/>
              <w:right w:val="single" w:color="000000" w:sz="4" w:space="0"/>
            </w:tcBorders>
            <w:noWrap w:val="0"/>
            <w:vAlign w:val="center"/>
          </w:tcPr>
          <w:p w14:paraId="55F3796E">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目标1：全面完成污染防治攻坚战清单及中央、省级层面共交办涉君山突出环境问题销号</w:t>
            </w:r>
          </w:p>
          <w:p w14:paraId="4C802A36">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目标2：开启环境质量监测，及时准确掌握全区环境质量状况</w:t>
            </w:r>
          </w:p>
          <w:p w14:paraId="6DF3AB01">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目标3：严厉打击环境违法行为。</w:t>
            </w:r>
          </w:p>
          <w:p w14:paraId="7BEBD67F">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目标4：</w:t>
            </w:r>
            <w:r>
              <w:rPr>
                <w:rFonts w:hint="eastAsia" w:ascii="仿宋_GB2312" w:hAnsi="仿宋_GB2312" w:eastAsia="仿宋_GB2312" w:cs="仿宋_GB2312"/>
                <w:color w:val="000000"/>
                <w:sz w:val="20"/>
                <w:szCs w:val="20"/>
              </w:rPr>
              <w:t>以提升空气质量</w:t>
            </w:r>
            <w:r>
              <w:rPr>
                <w:rFonts w:hint="eastAsia" w:ascii="仿宋_GB2312" w:hAnsi="仿宋_GB2312" w:eastAsia="仿宋_GB2312" w:cs="仿宋_GB2312"/>
                <w:color w:val="000000"/>
                <w:sz w:val="20"/>
                <w:szCs w:val="20"/>
                <w:lang w:val="en-US" w:eastAsia="zh-CN"/>
              </w:rPr>
              <w:t>为主要“着力点”</w:t>
            </w:r>
            <w:r>
              <w:rPr>
                <w:rFonts w:hint="eastAsia" w:ascii="仿宋_GB2312" w:hAnsi="仿宋_GB2312" w:eastAsia="仿宋_GB2312" w:cs="仿宋_GB2312"/>
                <w:color w:val="000000"/>
                <w:sz w:val="20"/>
                <w:szCs w:val="20"/>
              </w:rPr>
              <w:t>，坚决打赢大气污染防治攻坚战。</w:t>
            </w:r>
          </w:p>
          <w:p w14:paraId="512515F8">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目标5：坚持党建引领，清廉环保和法制宣教有声有色。</w:t>
            </w:r>
          </w:p>
          <w:p w14:paraId="7E10542E">
            <w:pPr>
              <w:widowControl/>
              <w:spacing w:line="240" w:lineRule="exact"/>
              <w:jc w:val="left"/>
              <w:rPr>
                <w:rFonts w:hint="eastAsia" w:ascii="仿宋_GB2312" w:hAnsi="仿宋_GB2312" w:eastAsia="仿宋_GB2312" w:cs="仿宋_GB2312"/>
                <w:color w:val="000000"/>
                <w:sz w:val="20"/>
                <w:szCs w:val="20"/>
              </w:rPr>
            </w:pPr>
          </w:p>
        </w:tc>
        <w:tc>
          <w:tcPr>
            <w:tcW w:w="4304" w:type="dxa"/>
            <w:gridSpan w:val="4"/>
            <w:tcBorders>
              <w:top w:val="single" w:color="auto" w:sz="4" w:space="0"/>
              <w:left w:val="nil"/>
              <w:bottom w:val="single" w:color="auto" w:sz="4" w:space="0"/>
              <w:right w:val="single" w:color="auto" w:sz="4" w:space="0"/>
            </w:tcBorders>
            <w:noWrap w:val="0"/>
            <w:vAlign w:val="top"/>
          </w:tcPr>
          <w:p w14:paraId="05380A05">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w:t>
            </w:r>
            <w:r>
              <w:rPr>
                <w:rFonts w:hint="eastAsia" w:ascii="仿宋_GB2312" w:hAnsi="仿宋_GB2312" w:eastAsia="仿宋_GB2312" w:cs="仿宋_GB2312"/>
                <w:color w:val="000000"/>
                <w:sz w:val="20"/>
                <w:szCs w:val="20"/>
              </w:rPr>
              <w:t>今年来</w:t>
            </w:r>
            <w:r>
              <w:rPr>
                <w:rFonts w:hint="eastAsia" w:ascii="仿宋_GB2312" w:hAnsi="仿宋_GB2312" w:eastAsia="仿宋_GB2312" w:cs="仿宋_GB2312"/>
                <w:color w:val="000000"/>
                <w:sz w:val="20"/>
                <w:szCs w:val="20"/>
                <w:lang w:eastAsia="zh-CN"/>
              </w:rPr>
              <w:t>，在</w:t>
            </w:r>
            <w:r>
              <w:rPr>
                <w:rFonts w:hint="eastAsia" w:ascii="仿宋_GB2312" w:hAnsi="仿宋_GB2312" w:eastAsia="仿宋_GB2312" w:cs="仿宋_GB2312"/>
                <w:color w:val="000000"/>
                <w:sz w:val="20"/>
                <w:szCs w:val="20"/>
              </w:rPr>
              <w:t>区委区政府的坚强领导下</w:t>
            </w:r>
            <w:r>
              <w:rPr>
                <w:rFonts w:hint="eastAsia" w:ascii="仿宋_GB2312" w:hAnsi="仿宋_GB2312" w:eastAsia="仿宋_GB2312" w:cs="仿宋_GB2312"/>
                <w:color w:val="000000"/>
                <w:sz w:val="20"/>
                <w:szCs w:val="20"/>
                <w:lang w:eastAsia="zh-CN"/>
              </w:rPr>
              <w:t>完成了</w:t>
            </w:r>
            <w:r>
              <w:rPr>
                <w:rFonts w:hint="eastAsia" w:ascii="仿宋_GB2312" w:hAnsi="仿宋_GB2312" w:eastAsia="仿宋_GB2312" w:cs="仿宋_GB2312"/>
                <w:color w:val="000000"/>
                <w:sz w:val="20"/>
                <w:szCs w:val="20"/>
              </w:rPr>
              <w:t>中央、省</w:t>
            </w:r>
            <w:r>
              <w:rPr>
                <w:rFonts w:hint="eastAsia" w:ascii="仿宋_GB2312" w:hAnsi="仿宋_GB2312" w:eastAsia="仿宋_GB2312" w:cs="仿宋_GB2312"/>
                <w:color w:val="000000"/>
                <w:sz w:val="20"/>
                <w:szCs w:val="20"/>
                <w:lang w:val="en-US" w:eastAsia="zh-CN"/>
              </w:rPr>
              <w:t>市</w:t>
            </w:r>
            <w:r>
              <w:rPr>
                <w:rFonts w:hint="eastAsia" w:ascii="仿宋_GB2312" w:hAnsi="仿宋_GB2312" w:eastAsia="仿宋_GB2312" w:cs="仿宋_GB2312"/>
                <w:color w:val="000000"/>
                <w:sz w:val="20"/>
                <w:szCs w:val="20"/>
              </w:rPr>
              <w:t>交办涉君山突出环境问题</w:t>
            </w:r>
            <w:r>
              <w:rPr>
                <w:rFonts w:hint="eastAsia" w:ascii="仿宋_GB2312" w:hAnsi="仿宋_GB2312" w:eastAsia="仿宋_GB2312" w:cs="仿宋_GB2312"/>
                <w:color w:val="000000"/>
                <w:sz w:val="20"/>
                <w:szCs w:val="20"/>
                <w:lang w:val="en-US" w:eastAsia="zh-CN"/>
              </w:rPr>
              <w:t>34</w:t>
            </w:r>
            <w:r>
              <w:rPr>
                <w:rFonts w:hint="eastAsia" w:ascii="仿宋_GB2312" w:hAnsi="仿宋_GB2312" w:eastAsia="仿宋_GB2312" w:cs="仿宋_GB2312"/>
                <w:color w:val="000000"/>
                <w:sz w:val="20"/>
                <w:szCs w:val="20"/>
              </w:rPr>
              <w:t>个销号；</w:t>
            </w:r>
            <w:r>
              <w:rPr>
                <w:rFonts w:hint="eastAsia" w:ascii="仿宋_GB2312" w:hAnsi="仿宋_GB2312" w:eastAsia="仿宋_GB2312" w:cs="仿宋_GB2312"/>
                <w:color w:val="000000"/>
                <w:sz w:val="20"/>
                <w:szCs w:val="20"/>
                <w:lang w:val="en-US" w:eastAsia="zh-CN"/>
              </w:rPr>
              <w:t>57</w:t>
            </w:r>
            <w:r>
              <w:rPr>
                <w:rFonts w:hint="eastAsia" w:ascii="仿宋_GB2312" w:hAnsi="仿宋_GB2312" w:eastAsia="仿宋_GB2312" w:cs="仿宋_GB2312"/>
                <w:color w:val="000000"/>
                <w:sz w:val="20"/>
                <w:szCs w:val="20"/>
              </w:rPr>
              <w:t>个信访件全部办结；2019-202</w:t>
            </w:r>
            <w:r>
              <w:rPr>
                <w:rFonts w:hint="eastAsia" w:ascii="仿宋_GB2312" w:hAnsi="仿宋_GB2312" w:eastAsia="仿宋_GB2312" w:cs="仿宋_GB2312"/>
                <w:color w:val="000000"/>
                <w:sz w:val="20"/>
                <w:szCs w:val="20"/>
                <w:lang w:val="en-US" w:eastAsia="zh-CN"/>
              </w:rPr>
              <w:t>2</w:t>
            </w:r>
            <w:r>
              <w:rPr>
                <w:rFonts w:hint="eastAsia" w:ascii="仿宋_GB2312" w:hAnsi="仿宋_GB2312" w:eastAsia="仿宋_GB2312" w:cs="仿宋_GB2312"/>
                <w:color w:val="000000"/>
                <w:sz w:val="20"/>
                <w:szCs w:val="20"/>
              </w:rPr>
              <w:t>年市“洞庭清波”交办</w:t>
            </w:r>
            <w:r>
              <w:rPr>
                <w:rFonts w:hint="eastAsia" w:ascii="仿宋_GB2312" w:hAnsi="仿宋_GB2312" w:eastAsia="仿宋_GB2312" w:cs="仿宋_GB2312"/>
                <w:color w:val="000000"/>
                <w:sz w:val="20"/>
                <w:szCs w:val="20"/>
                <w:lang w:val="en-US" w:eastAsia="zh-CN"/>
              </w:rPr>
              <w:t>98</w:t>
            </w:r>
            <w:r>
              <w:rPr>
                <w:rFonts w:hint="eastAsia" w:ascii="仿宋_GB2312" w:hAnsi="仿宋_GB2312" w:eastAsia="仿宋_GB2312" w:cs="仿宋_GB2312"/>
                <w:color w:val="000000"/>
                <w:sz w:val="20"/>
                <w:szCs w:val="20"/>
              </w:rPr>
              <w:t>个问题全部完成销号，无一反弹</w:t>
            </w:r>
            <w:r>
              <w:rPr>
                <w:rFonts w:hint="eastAsia" w:ascii="仿宋_GB2312" w:hAnsi="仿宋_GB2312" w:eastAsia="仿宋_GB2312" w:cs="仿宋_GB2312"/>
                <w:color w:val="000000"/>
                <w:sz w:val="20"/>
                <w:szCs w:val="20"/>
                <w:lang w:eastAsia="zh-CN"/>
              </w:rPr>
              <w:t>。</w:t>
            </w:r>
          </w:p>
          <w:p w14:paraId="5A1687CD">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2、</w:t>
            </w:r>
            <w:r>
              <w:rPr>
                <w:rFonts w:hint="eastAsia" w:ascii="仿宋_GB2312" w:hAnsi="仿宋_GB2312" w:eastAsia="仿宋_GB2312" w:cs="仿宋_GB2312"/>
                <w:color w:val="000000"/>
                <w:sz w:val="20"/>
                <w:szCs w:val="20"/>
                <w:lang w:eastAsia="zh-CN"/>
              </w:rPr>
              <w:t>我</w:t>
            </w:r>
            <w:r>
              <w:rPr>
                <w:rFonts w:hint="eastAsia" w:ascii="仿宋_GB2312" w:hAnsi="仿宋_GB2312" w:eastAsia="仿宋_GB2312" w:cs="仿宋_GB2312"/>
                <w:color w:val="000000"/>
                <w:sz w:val="20"/>
                <w:szCs w:val="20"/>
                <w:lang w:val="en-US" w:eastAsia="zh-CN"/>
              </w:rPr>
              <w:t>局属于驻区单位，</w:t>
            </w:r>
            <w:r>
              <w:rPr>
                <w:rFonts w:hint="eastAsia" w:ascii="仿宋_GB2312" w:hAnsi="仿宋_GB2312" w:eastAsia="仿宋_GB2312" w:cs="仿宋_GB2312"/>
                <w:color w:val="000000"/>
                <w:sz w:val="20"/>
                <w:szCs w:val="20"/>
              </w:rPr>
              <w:t>没有</w:t>
            </w:r>
            <w:r>
              <w:rPr>
                <w:rFonts w:hint="eastAsia" w:ascii="仿宋_GB2312" w:hAnsi="仿宋_GB2312" w:eastAsia="仿宋_GB2312" w:cs="仿宋_GB2312"/>
                <w:color w:val="000000"/>
                <w:sz w:val="20"/>
                <w:szCs w:val="20"/>
                <w:lang w:val="en-US" w:eastAsia="zh-CN"/>
              </w:rPr>
              <w:t>单独设立</w:t>
            </w:r>
            <w:r>
              <w:rPr>
                <w:rFonts w:hint="eastAsia" w:ascii="仿宋_GB2312" w:hAnsi="仿宋_GB2312" w:eastAsia="仿宋_GB2312" w:cs="仿宋_GB2312"/>
                <w:color w:val="000000"/>
                <w:sz w:val="20"/>
                <w:szCs w:val="20"/>
              </w:rPr>
              <w:t>监测</w:t>
            </w:r>
            <w:r>
              <w:rPr>
                <w:rFonts w:hint="eastAsia" w:ascii="仿宋_GB2312" w:hAnsi="仿宋_GB2312" w:eastAsia="仿宋_GB2312" w:cs="仿宋_GB2312"/>
                <w:color w:val="000000"/>
                <w:sz w:val="20"/>
                <w:szCs w:val="20"/>
                <w:lang w:eastAsia="zh-CN"/>
              </w:rPr>
              <w:t>机构</w:t>
            </w:r>
            <w:r>
              <w:rPr>
                <w:rFonts w:hint="eastAsia" w:ascii="仿宋_GB2312" w:hAnsi="仿宋_GB2312" w:eastAsia="仿宋_GB2312" w:cs="仿宋_GB2312"/>
                <w:color w:val="000000"/>
                <w:sz w:val="20"/>
                <w:szCs w:val="20"/>
              </w:rPr>
              <w:t>。为了及时掌握全区环境质量状况，我局委托第三方检测公司按照考核频次对辖区内重要地表水</w:t>
            </w:r>
            <w:r>
              <w:rPr>
                <w:rFonts w:hint="eastAsia" w:ascii="仿宋_GB2312" w:hAnsi="仿宋_GB2312" w:eastAsia="仿宋_GB2312" w:cs="仿宋_GB2312"/>
                <w:color w:val="000000"/>
                <w:sz w:val="20"/>
                <w:szCs w:val="20"/>
                <w:lang w:val="en-US" w:eastAsia="zh-CN"/>
              </w:rPr>
              <w:t>考核</w:t>
            </w:r>
            <w:r>
              <w:rPr>
                <w:rFonts w:hint="eastAsia" w:ascii="仿宋_GB2312" w:hAnsi="仿宋_GB2312" w:eastAsia="仿宋_GB2312" w:cs="仿宋_GB2312"/>
                <w:color w:val="000000"/>
                <w:sz w:val="20"/>
                <w:szCs w:val="20"/>
              </w:rPr>
              <w:t>点位</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rPr>
              <w:t>重点污染源点位</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lang w:val="en-US" w:eastAsia="zh-CN"/>
              </w:rPr>
              <w:t>千吨万人饮用水源点位、</w:t>
            </w:r>
            <w:r>
              <w:rPr>
                <w:rFonts w:hint="eastAsia" w:ascii="仿宋_GB2312" w:hAnsi="仿宋_GB2312" w:eastAsia="仿宋_GB2312" w:cs="仿宋_GB2312"/>
                <w:color w:val="000000"/>
                <w:sz w:val="20"/>
                <w:szCs w:val="20"/>
              </w:rPr>
              <w:t>村庄的空气点位</w:t>
            </w:r>
            <w:r>
              <w:rPr>
                <w:rFonts w:hint="eastAsia" w:ascii="仿宋_GB2312" w:hAnsi="仿宋_GB2312" w:eastAsia="仿宋_GB2312" w:cs="仿宋_GB2312"/>
                <w:color w:val="000000"/>
                <w:sz w:val="20"/>
                <w:szCs w:val="20"/>
                <w:lang w:val="en-US" w:eastAsia="zh-CN"/>
              </w:rPr>
              <w:t>进行了监测。</w:t>
            </w:r>
          </w:p>
          <w:p w14:paraId="19B277AB">
            <w:pPr>
              <w:widowControl/>
              <w:spacing w:line="240" w:lineRule="exact"/>
              <w:jc w:val="left"/>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3、严厉打击环境违法行为</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rPr>
              <w:t>加大园区气型污染企业监管</w:t>
            </w:r>
            <w:r>
              <w:rPr>
                <w:rFonts w:hint="eastAsia" w:ascii="仿宋_GB2312" w:hAnsi="仿宋_GB2312" w:eastAsia="仿宋_GB2312" w:cs="仿宋_GB2312"/>
                <w:color w:val="000000"/>
                <w:sz w:val="20"/>
                <w:szCs w:val="20"/>
                <w:lang w:eastAsia="zh-CN"/>
              </w:rPr>
              <w:t>，</w:t>
            </w:r>
            <w:r>
              <w:rPr>
                <w:rFonts w:hint="eastAsia" w:ascii="仿宋_GB2312" w:hAnsi="仿宋_GB2312" w:eastAsia="仿宋_GB2312" w:cs="仿宋_GB2312"/>
                <w:color w:val="000000"/>
                <w:sz w:val="20"/>
                <w:szCs w:val="20"/>
                <w:lang w:val="en-US" w:eastAsia="zh-CN"/>
              </w:rPr>
              <w:t>先后开展了危险废物专项行动、油气回收执法检查活动、涉气企业专项执法行动等。</w:t>
            </w:r>
            <w:r>
              <w:rPr>
                <w:rFonts w:hint="eastAsia" w:ascii="仿宋_GB2312" w:hAnsi="仿宋_GB2312" w:eastAsia="仿宋_GB2312" w:cs="仿宋_GB2312"/>
                <w:color w:val="000000"/>
                <w:sz w:val="20"/>
                <w:szCs w:val="20"/>
                <w:lang w:eastAsia="zh-CN"/>
              </w:rPr>
              <w:t>特别是重点开展“利剑”行动，累计摸底排查各类生态环境风险隐患共计18个，红色风险等级3个，橙色风险等级4个，黄色风险等级10个，覆盖9个类别，全部完成降级，隐患消除率达到 100%。累计出动执法人员 657 人次，检查企业 219 家次，立案调查5起，下达行政处罚决定3起，2起已移送市局，</w:t>
            </w:r>
            <w:r>
              <w:rPr>
                <w:rFonts w:hint="eastAsia" w:ascii="仿宋_GB2312" w:hAnsi="仿宋_GB2312" w:eastAsia="仿宋_GB2312" w:cs="仿宋_GB2312"/>
                <w:color w:val="000000"/>
                <w:sz w:val="20"/>
                <w:szCs w:val="20"/>
                <w:lang w:val="en-US" w:eastAsia="zh-CN"/>
              </w:rPr>
              <w:t>罚款共计22.43万元。</w:t>
            </w:r>
          </w:p>
          <w:p w14:paraId="7583E1AC">
            <w:pPr>
              <w:widowControl/>
              <w:spacing w:line="240" w:lineRule="exact"/>
              <w:jc w:val="left"/>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val="en-US" w:eastAsia="zh-CN"/>
              </w:rPr>
              <w:t>4、</w:t>
            </w:r>
            <w:r>
              <w:rPr>
                <w:rFonts w:hint="eastAsia" w:ascii="仿宋_GB2312" w:hAnsi="仿宋_GB2312" w:eastAsia="仿宋_GB2312" w:cs="仿宋_GB2312"/>
                <w:color w:val="000000"/>
                <w:sz w:val="20"/>
                <w:szCs w:val="20"/>
              </w:rPr>
              <w:t>以提升空气质量</w:t>
            </w:r>
            <w:r>
              <w:rPr>
                <w:rFonts w:hint="eastAsia" w:ascii="仿宋_GB2312" w:hAnsi="仿宋_GB2312" w:eastAsia="仿宋_GB2312" w:cs="仿宋_GB2312"/>
                <w:color w:val="000000"/>
                <w:sz w:val="20"/>
                <w:szCs w:val="20"/>
                <w:lang w:val="en-US" w:eastAsia="zh-CN"/>
              </w:rPr>
              <w:t>为主要“着力点”</w:t>
            </w:r>
            <w:r>
              <w:rPr>
                <w:rFonts w:hint="eastAsia" w:ascii="仿宋_GB2312" w:hAnsi="仿宋_GB2312" w:eastAsia="仿宋_GB2312" w:cs="仿宋_GB2312"/>
                <w:color w:val="000000"/>
                <w:sz w:val="20"/>
                <w:szCs w:val="20"/>
              </w:rPr>
              <w:t>，坚决打赢大气污染防治攻坚战。</w:t>
            </w:r>
            <w:r>
              <w:rPr>
                <w:rFonts w:hint="eastAsia" w:ascii="仿宋_GB2312" w:hAnsi="仿宋_GB2312" w:eastAsia="仿宋_GB2312" w:cs="仿宋_GB2312"/>
                <w:color w:val="000000"/>
                <w:sz w:val="20"/>
                <w:szCs w:val="20"/>
                <w:lang w:val="en-US" w:eastAsia="zh-CN"/>
              </w:rPr>
              <w:t>持续</w:t>
            </w:r>
            <w:r>
              <w:rPr>
                <w:rFonts w:hint="eastAsia" w:ascii="仿宋_GB2312" w:hAnsi="仿宋_GB2312" w:eastAsia="仿宋_GB2312" w:cs="仿宋_GB2312"/>
                <w:color w:val="000000"/>
                <w:sz w:val="20"/>
                <w:szCs w:val="20"/>
                <w:lang w:eastAsia="zh-CN"/>
              </w:rPr>
              <w:t>开展</w:t>
            </w:r>
            <w:r>
              <w:rPr>
                <w:rFonts w:hint="eastAsia" w:ascii="仿宋_GB2312" w:hAnsi="仿宋_GB2312" w:eastAsia="仿宋_GB2312" w:cs="仿宋_GB2312"/>
                <w:color w:val="000000"/>
                <w:sz w:val="20"/>
                <w:szCs w:val="20"/>
              </w:rPr>
              <w:t>大气污染防治</w:t>
            </w:r>
            <w:r>
              <w:rPr>
                <w:rFonts w:hint="eastAsia" w:ascii="仿宋_GB2312" w:hAnsi="仿宋_GB2312" w:eastAsia="仿宋_GB2312" w:cs="仿宋_GB2312"/>
                <w:color w:val="000000"/>
                <w:sz w:val="20"/>
                <w:szCs w:val="20"/>
                <w:lang w:eastAsia="zh-CN"/>
              </w:rPr>
              <w:t>“特护期”</w:t>
            </w:r>
            <w:r>
              <w:rPr>
                <w:rFonts w:hint="eastAsia" w:ascii="仿宋_GB2312" w:hAnsi="仿宋_GB2312" w:eastAsia="仿宋_GB2312" w:cs="仿宋_GB2312"/>
                <w:color w:val="000000"/>
                <w:sz w:val="20"/>
                <w:szCs w:val="20"/>
                <w:lang w:val="en-US" w:eastAsia="zh-CN"/>
              </w:rPr>
              <w:t>工作，对辖区秸秆燃烧、工地扬尘、餐饮油烟等环境问题进行全面排查并督促整改，实时遥感火点预警、增加洒水降尘、雾炮保湿频次、加装油烟净化系统。联合相关单位开展联合执法。</w:t>
            </w:r>
            <w:r>
              <w:rPr>
                <w:rFonts w:hint="eastAsia" w:ascii="仿宋_GB2312" w:hAnsi="仿宋_GB2312" w:eastAsia="仿宋_GB2312" w:cs="仿宋_GB2312"/>
                <w:color w:val="000000"/>
                <w:sz w:val="20"/>
                <w:szCs w:val="20"/>
              </w:rPr>
              <w:t>加大大气污染物处理效率，减少大气污染物排放总量。市蓝天办现场督查后对我区的整改成效给予肯定。</w:t>
            </w:r>
          </w:p>
          <w:p w14:paraId="671E3837">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5、</w:t>
            </w:r>
            <w:r>
              <w:rPr>
                <w:rFonts w:hint="eastAsia" w:ascii="仿宋_GB2312" w:hAnsi="仿宋_GB2312" w:eastAsia="仿宋_GB2312" w:cs="仿宋_GB2312"/>
                <w:color w:val="000000"/>
                <w:sz w:val="20"/>
                <w:szCs w:val="20"/>
                <w:lang w:val="en-US" w:eastAsia="zh-CN"/>
              </w:rPr>
              <w:t>坚持党建引领，清廉环保和法制宣教有声有色。君山分局始终把党风廉政建设建设工作与推进局领导班子建设和干部队伍建设结合起来，先后开展了系列专项教育学习活动，具体为:3次开展节假日纠治“四风”监督检查、开展国家公职人员打牌赌博和违规吃喝问题专项整治、开展“倡清廉家风、筑廉洁防线”主体学习和违规收送红包礼金专项整治及自查工作等，分局局长许洞明开展“书记讲党课”2次，党风廉政日常谈话20余次，努力打造一支清廉环保“铁军”队伍。</w:t>
            </w:r>
          </w:p>
        </w:tc>
      </w:tr>
      <w:tr w14:paraId="1A1BE368">
        <w:tblPrEx>
          <w:tblCellMar>
            <w:top w:w="0" w:type="dxa"/>
            <w:left w:w="108" w:type="dxa"/>
            <w:bottom w:w="0" w:type="dxa"/>
            <w:right w:w="108" w:type="dxa"/>
          </w:tblCellMar>
        </w:tblPrEx>
        <w:trPr>
          <w:trHeight w:val="702" w:hRule="atLeast"/>
          <w:jc w:val="center"/>
        </w:trPr>
        <w:tc>
          <w:tcPr>
            <w:tcW w:w="1080" w:type="dxa"/>
            <w:vMerge w:val="restart"/>
            <w:tcBorders>
              <w:top w:val="nil"/>
              <w:left w:val="single" w:color="auto" w:sz="4" w:space="0"/>
              <w:right w:val="single" w:color="auto" w:sz="4" w:space="0"/>
            </w:tcBorders>
            <w:noWrap w:val="0"/>
            <w:vAlign w:val="center"/>
          </w:tcPr>
          <w:p w14:paraId="4B12CE71">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14:paraId="0CDA8050">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14:paraId="70308650">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14:paraId="281B2DF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14:paraId="00C2D51E">
            <w:pPr>
              <w:widowControl/>
              <w:spacing w:line="240" w:lineRule="exact"/>
              <w:jc w:val="center"/>
              <w:rPr>
                <w:rFonts w:hint="eastAsia" w:ascii="仿宋_GB2312" w:hAnsi="仿宋_GB2312" w:eastAsia="仿宋_GB2312" w:cs="仿宋_GB2312"/>
                <w:color w:val="000000"/>
                <w:sz w:val="20"/>
                <w:szCs w:val="20"/>
              </w:rPr>
            </w:pPr>
          </w:p>
        </w:tc>
        <w:tc>
          <w:tcPr>
            <w:tcW w:w="1080" w:type="dxa"/>
            <w:tcBorders>
              <w:top w:val="nil"/>
              <w:left w:val="nil"/>
              <w:bottom w:val="single" w:color="auto" w:sz="4" w:space="0"/>
              <w:right w:val="single" w:color="auto" w:sz="4" w:space="0"/>
            </w:tcBorders>
            <w:noWrap w:val="0"/>
            <w:vAlign w:val="center"/>
          </w:tcPr>
          <w:p w14:paraId="4472481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4" w:type="dxa"/>
            <w:tcBorders>
              <w:top w:val="nil"/>
              <w:left w:val="nil"/>
              <w:bottom w:val="single" w:color="auto" w:sz="4" w:space="0"/>
              <w:right w:val="single" w:color="auto" w:sz="4" w:space="0"/>
            </w:tcBorders>
            <w:noWrap w:val="0"/>
            <w:vAlign w:val="center"/>
          </w:tcPr>
          <w:p w14:paraId="6B0440A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270" w:type="dxa"/>
            <w:tcBorders>
              <w:top w:val="nil"/>
              <w:left w:val="nil"/>
              <w:bottom w:val="single" w:color="auto" w:sz="4" w:space="0"/>
              <w:right w:val="single" w:color="auto" w:sz="4" w:space="0"/>
            </w:tcBorders>
            <w:noWrap w:val="0"/>
            <w:vAlign w:val="center"/>
          </w:tcPr>
          <w:p w14:paraId="38790D54">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311" w:type="dxa"/>
            <w:tcBorders>
              <w:top w:val="nil"/>
              <w:left w:val="nil"/>
              <w:bottom w:val="single" w:color="auto" w:sz="4" w:space="0"/>
              <w:right w:val="single" w:color="auto" w:sz="4" w:space="0"/>
            </w:tcBorders>
            <w:noWrap w:val="0"/>
            <w:vAlign w:val="center"/>
          </w:tcPr>
          <w:p w14:paraId="6FEE8D88">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年度指标值</w:t>
            </w:r>
          </w:p>
        </w:tc>
        <w:tc>
          <w:tcPr>
            <w:tcW w:w="1269" w:type="dxa"/>
            <w:tcBorders>
              <w:top w:val="nil"/>
              <w:left w:val="nil"/>
              <w:bottom w:val="single" w:color="auto" w:sz="4" w:space="0"/>
              <w:right w:val="single" w:color="auto" w:sz="4" w:space="0"/>
            </w:tcBorders>
            <w:noWrap w:val="0"/>
            <w:vAlign w:val="center"/>
          </w:tcPr>
          <w:p w14:paraId="7B7425DC">
            <w:pPr>
              <w:widowControl/>
              <w:spacing w:line="24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实际完成值</w:t>
            </w:r>
          </w:p>
        </w:tc>
        <w:tc>
          <w:tcPr>
            <w:tcW w:w="716" w:type="dxa"/>
            <w:tcBorders>
              <w:top w:val="nil"/>
              <w:left w:val="nil"/>
              <w:bottom w:val="single" w:color="auto" w:sz="4" w:space="0"/>
              <w:right w:val="single" w:color="auto" w:sz="4" w:space="0"/>
            </w:tcBorders>
            <w:noWrap w:val="0"/>
            <w:vAlign w:val="center"/>
          </w:tcPr>
          <w:p w14:paraId="4FB33840">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73" w:type="dxa"/>
            <w:tcBorders>
              <w:top w:val="nil"/>
              <w:left w:val="nil"/>
              <w:bottom w:val="single" w:color="auto" w:sz="4" w:space="0"/>
              <w:right w:val="single" w:color="auto" w:sz="4" w:space="0"/>
            </w:tcBorders>
            <w:noWrap w:val="0"/>
            <w:vAlign w:val="center"/>
          </w:tcPr>
          <w:p w14:paraId="70DD8D21">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46" w:type="dxa"/>
            <w:tcBorders>
              <w:top w:val="nil"/>
              <w:left w:val="nil"/>
              <w:bottom w:val="single" w:color="auto" w:sz="4" w:space="0"/>
              <w:right w:val="single" w:color="auto" w:sz="4" w:space="0"/>
            </w:tcBorders>
            <w:noWrap w:val="0"/>
            <w:vAlign w:val="center"/>
          </w:tcPr>
          <w:p w14:paraId="304055F1">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14:paraId="41EFF5D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82FCD85">
            <w:pPr>
              <w:spacing w:line="240" w:lineRule="exact"/>
              <w:jc w:val="left"/>
              <w:rPr>
                <w:rFonts w:hint="eastAsia"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27B6A156">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14:paraId="54353F4E">
            <w:pPr>
              <w:widowControl/>
              <w:spacing w:line="240" w:lineRule="exact"/>
              <w:jc w:val="center"/>
              <w:rPr>
                <w:rFonts w:hint="eastAsia" w:ascii="仿宋_GB2312" w:hAnsi="仿宋_GB2312" w:eastAsia="仿宋_GB2312" w:cs="仿宋_GB2312"/>
                <w:color w:val="000000"/>
                <w:sz w:val="20"/>
                <w:szCs w:val="20"/>
              </w:rPr>
            </w:pPr>
          </w:p>
          <w:p w14:paraId="642B13C6">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4" w:type="dxa"/>
            <w:vMerge w:val="restart"/>
            <w:tcBorders>
              <w:top w:val="single" w:color="auto" w:sz="4" w:space="0"/>
              <w:left w:val="single" w:color="auto" w:sz="4" w:space="0"/>
              <w:right w:val="single" w:color="auto" w:sz="4" w:space="0"/>
            </w:tcBorders>
            <w:noWrap w:val="0"/>
            <w:vAlign w:val="center"/>
          </w:tcPr>
          <w:p w14:paraId="299B5117">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0402DE8B">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完成的罚没款征缴任务</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66823857">
            <w:pPr>
              <w:widowControl/>
              <w:spacing w:line="240" w:lineRule="exact"/>
              <w:jc w:val="left"/>
              <w:rPr>
                <w:rFonts w:hint="default" w:ascii="仿宋_GB2312" w:hAnsi="仿宋_GB2312" w:eastAsia="仿宋_GB2312" w:cs="仿宋_GB2312"/>
                <w:color w:val="000000"/>
                <w:sz w:val="20"/>
                <w:szCs w:val="20"/>
                <w:lang w:val="en-US"/>
              </w:rPr>
            </w:pPr>
            <w:r>
              <w:rPr>
                <w:rFonts w:hint="eastAsia" w:ascii="仿宋_GB2312" w:hAnsi="宋体" w:eastAsia="仿宋_GB2312" w:cs="仿宋_GB2312"/>
                <w:i w:val="0"/>
                <w:iCs w:val="0"/>
                <w:color w:val="000000"/>
                <w:kern w:val="0"/>
                <w:sz w:val="20"/>
                <w:szCs w:val="20"/>
                <w:u w:val="none"/>
                <w:lang w:val="en-US" w:eastAsia="zh-CN" w:bidi="ar"/>
              </w:rPr>
              <w:t>20万元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7FB64BCC">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宋体" w:eastAsia="仿宋_GB2312" w:cs="仿宋_GB2312"/>
                <w:i w:val="0"/>
                <w:iCs w:val="0"/>
                <w:color w:val="000000"/>
                <w:kern w:val="0"/>
                <w:sz w:val="20"/>
                <w:szCs w:val="20"/>
                <w:u w:val="none"/>
                <w:lang w:val="en-US" w:eastAsia="zh-CN" w:bidi="ar"/>
              </w:rPr>
              <w:t>22.43万元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3E734D37">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8FEF8B7">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501A74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7D5D6F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205C2F7">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0D9E6C4">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left w:val="single" w:color="auto" w:sz="4" w:space="0"/>
              <w:right w:val="single" w:color="auto" w:sz="4" w:space="0"/>
            </w:tcBorders>
            <w:noWrap w:val="0"/>
            <w:vAlign w:val="center"/>
          </w:tcPr>
          <w:p w14:paraId="18978087">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14:paraId="33929962">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宋体" w:eastAsia="仿宋_GB2312" w:cs="仿宋_GB2312"/>
                <w:i w:val="0"/>
                <w:iCs w:val="0"/>
                <w:color w:val="000000"/>
                <w:kern w:val="0"/>
                <w:sz w:val="20"/>
                <w:szCs w:val="20"/>
                <w:u w:val="none"/>
                <w:lang w:val="en-US" w:eastAsia="zh-CN" w:bidi="ar"/>
              </w:rPr>
              <w:t>完成排污权出让收入及环保税任务</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44F6C0F8">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8</w:t>
            </w:r>
            <w:r>
              <w:rPr>
                <w:rFonts w:hint="eastAsia" w:ascii="仿宋_GB2312" w:hAnsi="宋体" w:eastAsia="仿宋_GB2312" w:cs="仿宋_GB2312"/>
                <w:i w:val="0"/>
                <w:iCs w:val="0"/>
                <w:color w:val="000000"/>
                <w:kern w:val="0"/>
                <w:sz w:val="20"/>
                <w:szCs w:val="20"/>
                <w:u w:val="none"/>
                <w:lang w:val="en-US" w:eastAsia="zh-CN" w:bidi="ar"/>
              </w:rPr>
              <w:t>万元</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3785A6C9">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宋体" w:eastAsia="仿宋_GB2312" w:cs="仿宋_GB2312"/>
                <w:i w:val="0"/>
                <w:iCs w:val="0"/>
                <w:color w:val="000000"/>
                <w:kern w:val="0"/>
                <w:sz w:val="20"/>
                <w:szCs w:val="20"/>
                <w:u w:val="none"/>
                <w:lang w:val="en-US" w:eastAsia="zh-CN" w:bidi="ar"/>
              </w:rPr>
              <w:t>78.91万元</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4088C4F5">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6AE03BF">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47F55D08">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213BFDA">
        <w:tblPrEx>
          <w:tblCellMar>
            <w:top w:w="0" w:type="dxa"/>
            <w:left w:w="108" w:type="dxa"/>
            <w:bottom w:w="0" w:type="dxa"/>
            <w:right w:w="108" w:type="dxa"/>
          </w:tblCellMar>
        </w:tblPrEx>
        <w:trPr>
          <w:trHeight w:val="573" w:hRule="atLeast"/>
          <w:jc w:val="center"/>
        </w:trPr>
        <w:tc>
          <w:tcPr>
            <w:tcW w:w="1080" w:type="dxa"/>
            <w:vMerge w:val="continue"/>
            <w:tcBorders>
              <w:left w:val="single" w:color="auto" w:sz="4" w:space="0"/>
              <w:right w:val="single" w:color="auto" w:sz="4" w:space="0"/>
            </w:tcBorders>
            <w:noWrap w:val="0"/>
            <w:vAlign w:val="center"/>
          </w:tcPr>
          <w:p w14:paraId="61524FC2">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93849D0">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left w:val="single" w:color="auto" w:sz="4" w:space="0"/>
              <w:bottom w:val="single" w:color="auto" w:sz="4" w:space="0"/>
              <w:right w:val="single" w:color="auto" w:sz="4" w:space="0"/>
            </w:tcBorders>
            <w:noWrap w:val="0"/>
            <w:vAlign w:val="center"/>
          </w:tcPr>
          <w:p w14:paraId="709E517C">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14:paraId="3FF9BF6E">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重点监测重点污染企业</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32DB41AA">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22家</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39E20F2C">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60家</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3793B626">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22FD3C6">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2476F686">
            <w:pPr>
              <w:widowControl/>
              <w:spacing w:line="240" w:lineRule="exact"/>
              <w:jc w:val="left"/>
              <w:rPr>
                <w:rFonts w:hint="eastAsia" w:ascii="仿宋_GB2312" w:hAnsi="仿宋_GB2312" w:eastAsia="仿宋_GB2312" w:cs="仿宋_GB2312"/>
                <w:color w:val="000000"/>
                <w:sz w:val="20"/>
                <w:szCs w:val="20"/>
              </w:rPr>
            </w:pPr>
          </w:p>
        </w:tc>
      </w:tr>
      <w:tr w14:paraId="78680CC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78B0740">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ECE14A6">
            <w:pPr>
              <w:spacing w:line="240" w:lineRule="exact"/>
              <w:jc w:val="left"/>
              <w:rPr>
                <w:rFonts w:hint="eastAsia"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14:paraId="3B4B1EF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08E56921">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本区环保工作信访投诉处理、提案议案处理工作</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407975D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信访处理率、提案议案处理率100%</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77A6803D">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4CE139BD">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4E713E4">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25CB037E">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94AB05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50245EA">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ADE34EC">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14:paraId="3AE04723">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14:paraId="600B6FC9">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各种整治符合环保标准</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78609FB0">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6B9CA74C">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25B31D27">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0EAA676">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271063FC">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5F8232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E974F90">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F8F0B28">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14:paraId="7B8B6F23">
            <w:pPr>
              <w:widowControl/>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14:paraId="5A574F3B">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无较大污染事件发生</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29A8C050">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争取0发生</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76C855C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0发生</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666D6290">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89177C3">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DF46705">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34767F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AB18DBF">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0CF6D09A">
            <w:pPr>
              <w:spacing w:line="240" w:lineRule="exact"/>
              <w:jc w:val="left"/>
              <w:rPr>
                <w:rFonts w:hint="eastAsia"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14:paraId="7B1900BC">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09966A6E">
            <w:pPr>
              <w:widowControl/>
              <w:spacing w:line="240" w:lineRule="exact"/>
              <w:jc w:val="both"/>
              <w:rPr>
                <w:rFonts w:hint="eastAsia" w:ascii="仿宋_GB2312" w:hAnsi="仿宋_GB2312" w:eastAsia="仿宋_GB2312" w:cs="仿宋_GB2312"/>
                <w:color w:val="000000"/>
                <w:sz w:val="20"/>
                <w:szCs w:val="20"/>
              </w:rPr>
            </w:pPr>
            <w:r>
              <w:rPr>
                <w:rFonts w:hint="eastAsia" w:eastAsia="仿宋_GB2312"/>
                <w:kern w:val="0"/>
                <w:sz w:val="20"/>
                <w:szCs w:val="20"/>
                <w:lang w:val="en-US" w:eastAsia="zh-CN"/>
              </w:rPr>
              <w:t>突发事件</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0D678FC9">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即时完成</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790CDBDC">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按时完成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135DD47D">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42F94E6">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70591555">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3D9EAC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156A585">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CD2DEFF">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14:paraId="282673F6">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14:paraId="633E4727">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其他工作按计划完成</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1760CF43">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按年度计划时间内完成</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71171D2B">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按计划完成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41173B21">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D51E033">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159BE83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359425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420C6D3">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772FA80">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611C7086">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2D81889B">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所有的支出控制在预算内</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34216A96">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rPr>
              <w:t>工作经费和专项治理经费按要求控制在预算内</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0B7F0D9F">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执行率为100%</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47299971">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2ECCA3C">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481ADC2B">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B0A84B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63ADF6D">
            <w:pPr>
              <w:spacing w:line="240" w:lineRule="exact"/>
              <w:jc w:val="left"/>
              <w:rPr>
                <w:rFonts w:hint="eastAsia"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2542DC9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14:paraId="0CF9BCDE">
            <w:pPr>
              <w:widowControl/>
              <w:spacing w:line="240" w:lineRule="exact"/>
              <w:jc w:val="left"/>
              <w:rPr>
                <w:rFonts w:hint="eastAsia" w:ascii="仿宋_GB2312" w:hAnsi="仿宋_GB2312" w:eastAsia="仿宋_GB2312" w:cs="仿宋_GB2312"/>
                <w:color w:val="000000"/>
                <w:sz w:val="20"/>
                <w:szCs w:val="20"/>
              </w:rPr>
            </w:pPr>
          </w:p>
          <w:p w14:paraId="176C462B">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14:paraId="74071384">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6DE0EC00">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14:paraId="6D61B22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6C4040FD">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实现节能减排，减少环保治理经费</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2312D9FB">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15EA804F">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72EB44C1">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E1D19E2">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27DBE48E">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69B8A0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4A4E0C7">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DDD75F7">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3AB2527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14:paraId="08B05436">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0C382818">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改善辖区环境质量及群众生产生活环境，达到环境质量控制目标。</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2D365215">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486E84B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62141134">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98DD70A">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7420997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53F1EC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00BDA25">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92C47E6">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0BDB9C9D">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14:paraId="0FD09FEB">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0DFA4BAB">
            <w:pPr>
              <w:widowControl/>
              <w:spacing w:line="240" w:lineRule="exact"/>
              <w:jc w:val="both"/>
              <w:rPr>
                <w:rFonts w:hint="eastAsia" w:ascii="仿宋_GB2312" w:hAnsi="仿宋_GB2312" w:eastAsia="仿宋_GB2312" w:cs="仿宋_GB2312"/>
                <w:color w:val="000000"/>
                <w:sz w:val="20"/>
                <w:szCs w:val="20"/>
              </w:rPr>
            </w:pPr>
            <w:r>
              <w:rPr>
                <w:rFonts w:hint="eastAsia" w:eastAsia="仿宋_GB2312"/>
                <w:kern w:val="0"/>
                <w:sz w:val="20"/>
                <w:szCs w:val="20"/>
                <w:lang w:eastAsia="zh-CN"/>
              </w:rPr>
              <w:t>促进环境质量认知度</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4C878CBA">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0A12AEAE">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610FA693">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2025553">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79CB3F00">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5BB1FDE">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14:paraId="53E2B420">
            <w:pPr>
              <w:widowControl/>
              <w:spacing w:line="240" w:lineRule="exact"/>
              <w:jc w:val="center"/>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9C6D351">
            <w:pPr>
              <w:widowControl/>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67BECA76">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4AE0D67A">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1533B96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有可持续影响</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6CFF17CE">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6465CEE3">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A09F39B">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00E9A76B">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A09D302">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14:paraId="203DB1D5">
            <w:pPr>
              <w:spacing w:line="240" w:lineRule="exact"/>
              <w:jc w:val="left"/>
              <w:rPr>
                <w:rFonts w:hint="eastAsia" w:ascii="仿宋_GB2312" w:hAnsi="仿宋_GB2312" w:eastAsia="仿宋_GB2312" w:cs="仿宋_GB2312"/>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369C832">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14:paraId="62BC414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14:paraId="717E83DE">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11ABDCF0">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28B86B25">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社会反响良好</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08126137">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群众满意率上升到95%</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4170F6D4">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大于等于9</w:t>
            </w:r>
            <w:r>
              <w:rPr>
                <w:rFonts w:hint="eastAsia" w:ascii="仿宋_GB2312" w:hAnsi="宋体" w:eastAsia="仿宋_GB2312" w:cs="仿宋_GB2312"/>
                <w:i w:val="0"/>
                <w:iCs w:val="0"/>
                <w:color w:val="000000"/>
                <w:kern w:val="0"/>
                <w:sz w:val="20"/>
                <w:szCs w:val="20"/>
                <w:u w:val="none"/>
                <w:lang w:val="en-US" w:eastAsia="zh-CN" w:bidi="ar"/>
              </w:rPr>
              <w:t>5%</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2DD36984">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5CD073F2">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4E3D3578">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11B0C66">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14:paraId="4D0EE41D">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16" w:type="dxa"/>
            <w:tcBorders>
              <w:top w:val="nil"/>
              <w:left w:val="nil"/>
              <w:bottom w:val="single" w:color="auto" w:sz="4" w:space="0"/>
              <w:right w:val="single" w:color="auto" w:sz="4" w:space="0"/>
            </w:tcBorders>
            <w:noWrap w:val="0"/>
            <w:vAlign w:val="center"/>
          </w:tcPr>
          <w:p w14:paraId="1D96CCDE">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73" w:type="dxa"/>
            <w:tcBorders>
              <w:top w:val="nil"/>
              <w:left w:val="nil"/>
              <w:bottom w:val="single" w:color="auto" w:sz="4" w:space="0"/>
              <w:right w:val="single" w:color="auto" w:sz="4" w:space="0"/>
            </w:tcBorders>
            <w:noWrap w:val="0"/>
            <w:vAlign w:val="center"/>
          </w:tcPr>
          <w:p w14:paraId="3142B34C">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99</w:t>
            </w:r>
          </w:p>
        </w:tc>
        <w:tc>
          <w:tcPr>
            <w:tcW w:w="1446" w:type="dxa"/>
            <w:tcBorders>
              <w:top w:val="nil"/>
              <w:left w:val="nil"/>
              <w:bottom w:val="single" w:color="auto" w:sz="4" w:space="0"/>
              <w:right w:val="single" w:color="auto" w:sz="4" w:space="0"/>
            </w:tcBorders>
            <w:noWrap w:val="0"/>
            <w:vAlign w:val="center"/>
          </w:tcPr>
          <w:p w14:paraId="2B7CCF32">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14:paraId="55441BBA">
      <w:pPr>
        <w:rPr>
          <w:rFonts w:hint="default" w:ascii="Times New Roman" w:hAnsi="Times New Roman" w:eastAsia="仿宋_GB2312" w:cs="Times New Roman"/>
          <w:sz w:val="22"/>
        </w:rPr>
      </w:pPr>
    </w:p>
    <w:p w14:paraId="2C4A3E6A">
      <w:pPr>
        <w:rPr>
          <w:rFonts w:hint="eastAsia" w:ascii="黑体" w:hAnsi="黑体" w:eastAsia="黑体" w:cs="黑体"/>
          <w:sz w:val="32"/>
          <w:szCs w:val="32"/>
          <w:lang w:val="en-US" w:eastAsia="zh-CN"/>
        </w:rPr>
      </w:pPr>
      <w:r>
        <w:rPr>
          <w:rFonts w:hint="default" w:ascii="Times New Roman" w:hAnsi="Times New Roman" w:eastAsia="仿宋_GB2312" w:cs="Times New Roman"/>
          <w:sz w:val="22"/>
        </w:rPr>
        <w:t>填表人：</w:t>
      </w:r>
      <w:r>
        <w:rPr>
          <w:rFonts w:hint="eastAsia" w:ascii="Times New Roman" w:hAnsi="Times New Roman" w:eastAsia="仿宋_GB2312" w:cs="Times New Roman"/>
          <w:sz w:val="22"/>
          <w:lang w:val="en-US" w:eastAsia="zh-CN"/>
        </w:rPr>
        <w:t xml:space="preserve">      </w:t>
      </w:r>
      <w:r>
        <w:rPr>
          <w:rFonts w:hint="default" w:ascii="Times New Roman" w:hAnsi="Times New Roman" w:eastAsia="仿宋_GB2312" w:cs="Times New Roman"/>
          <w:sz w:val="22"/>
        </w:rPr>
        <w:t xml:space="preserve">  填报日期：    </w:t>
      </w:r>
      <w:r>
        <w:rPr>
          <w:rFonts w:hint="eastAsia" w:ascii="Times New Roman" w:hAnsi="Times New Roman" w:eastAsia="仿宋_GB2312" w:cs="Times New Roman"/>
          <w:sz w:val="22"/>
          <w:lang w:val="en-US" w:eastAsia="zh-CN"/>
        </w:rPr>
        <w:t xml:space="preserve">     </w:t>
      </w:r>
      <w:r>
        <w:rPr>
          <w:rFonts w:hint="default" w:ascii="Times New Roman" w:hAnsi="Times New Roman" w:eastAsia="仿宋_GB2312" w:cs="Times New Roman"/>
          <w:sz w:val="22"/>
        </w:rPr>
        <w:t>联系电话：</w:t>
      </w:r>
      <w:r>
        <w:rPr>
          <w:rFonts w:hint="eastAsia" w:eastAsia="仿宋" w:cs="仿宋"/>
          <w:spacing w:val="-23"/>
          <w:sz w:val="22"/>
          <w:szCs w:val="22"/>
          <w:lang w:val="en-US" w:eastAsia="zh-CN"/>
        </w:rPr>
        <w:t xml:space="preserve">             </w:t>
      </w:r>
      <w:r>
        <w:rPr>
          <w:rFonts w:hint="default" w:ascii="Times New Roman" w:hAnsi="Times New Roman" w:eastAsia="仿宋_GB2312" w:cs="Times New Roman"/>
          <w:sz w:val="22"/>
        </w:rPr>
        <w:t xml:space="preserve">   单位负责人签字：</w:t>
      </w:r>
      <w:r>
        <w:rPr>
          <w:rFonts w:hint="default" w:ascii="Times New Roman" w:hAnsi="Times New Roman" w:eastAsia="仿宋_GB2312" w:cs="Times New Roman"/>
          <w:sz w:val="22"/>
        </w:rPr>
        <w:br w:type="page"/>
      </w:r>
    </w:p>
    <w:p w14:paraId="47BDCA2F">
      <w:pPr>
        <w:jc w:val="center"/>
        <w:rPr>
          <w:rFonts w:hint="default" w:ascii="Times New Roman" w:hAnsi="Times New Roman" w:eastAsia="方正小标宋_GBK" w:cs="Times New Roman"/>
          <w:sz w:val="52"/>
          <w:szCs w:val="52"/>
        </w:rPr>
      </w:pPr>
    </w:p>
    <w:p w14:paraId="0F6B9465">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年度岳阳市生态环境局</w:t>
      </w:r>
      <w:r>
        <w:rPr>
          <w:rFonts w:hint="eastAsia" w:ascii="方正小标宋简体" w:hAnsi="方正小标宋简体" w:eastAsia="方正小标宋简体" w:cs="方正小标宋简体"/>
          <w:sz w:val="44"/>
          <w:szCs w:val="44"/>
          <w:lang w:eastAsia="zh-CN"/>
        </w:rPr>
        <w:t>君山</w:t>
      </w:r>
      <w:r>
        <w:rPr>
          <w:rFonts w:hint="eastAsia" w:ascii="方正小标宋简体" w:hAnsi="方正小标宋简体" w:eastAsia="方正小标宋简体" w:cs="方正小标宋简体"/>
          <w:sz w:val="44"/>
          <w:szCs w:val="44"/>
        </w:rPr>
        <w:t>分局整体支出绩效自评报告</w:t>
      </w:r>
    </w:p>
    <w:p w14:paraId="25DB1F31">
      <w:pPr>
        <w:jc w:val="center"/>
        <w:rPr>
          <w:rFonts w:hint="default" w:ascii="Times New Roman" w:hAnsi="Times New Roman" w:eastAsia="方正小标宋_GBK" w:cs="Times New Roman"/>
          <w:b/>
          <w:sz w:val="52"/>
          <w:szCs w:val="52"/>
        </w:rPr>
      </w:pPr>
    </w:p>
    <w:p w14:paraId="76472A07">
      <w:pPr>
        <w:jc w:val="center"/>
        <w:rPr>
          <w:rFonts w:hint="default" w:ascii="Times New Roman" w:hAnsi="Times New Roman" w:eastAsia="楷体_GB2312" w:cs="Times New Roman"/>
          <w:b/>
          <w:sz w:val="32"/>
          <w:szCs w:val="32"/>
        </w:rPr>
      </w:pPr>
    </w:p>
    <w:p w14:paraId="73823FDB">
      <w:pPr>
        <w:jc w:val="center"/>
        <w:rPr>
          <w:rFonts w:hint="default" w:ascii="Times New Roman" w:hAnsi="Times New Roman" w:eastAsia="楷体_GB2312" w:cs="Times New Roman"/>
          <w:b/>
          <w:sz w:val="32"/>
          <w:szCs w:val="32"/>
        </w:rPr>
      </w:pPr>
    </w:p>
    <w:p w14:paraId="353CF9BB">
      <w:pPr>
        <w:jc w:val="center"/>
        <w:rPr>
          <w:rFonts w:hint="default" w:ascii="Times New Roman" w:hAnsi="Times New Roman" w:eastAsia="楷体_GB2312" w:cs="Times New Roman"/>
          <w:b/>
          <w:sz w:val="32"/>
          <w:szCs w:val="32"/>
        </w:rPr>
      </w:pPr>
    </w:p>
    <w:p w14:paraId="5492668B">
      <w:pPr>
        <w:jc w:val="center"/>
        <w:rPr>
          <w:rFonts w:hint="default" w:ascii="Times New Roman" w:hAnsi="Times New Roman" w:eastAsia="楷体_GB2312" w:cs="Times New Roman"/>
          <w:b/>
          <w:sz w:val="32"/>
          <w:szCs w:val="32"/>
        </w:rPr>
      </w:pPr>
    </w:p>
    <w:p w14:paraId="5E1308A7">
      <w:pPr>
        <w:jc w:val="center"/>
        <w:rPr>
          <w:rFonts w:hint="default" w:ascii="Times New Roman" w:hAnsi="Times New Roman" w:eastAsia="楷体_GB2312" w:cs="Times New Roman"/>
          <w:b/>
          <w:sz w:val="32"/>
          <w:szCs w:val="32"/>
        </w:rPr>
      </w:pPr>
    </w:p>
    <w:p w14:paraId="7771E3CF">
      <w:pPr>
        <w:jc w:val="center"/>
        <w:rPr>
          <w:rFonts w:hint="default" w:ascii="Times New Roman" w:hAnsi="Times New Roman" w:eastAsia="楷体_GB2312" w:cs="Times New Roman"/>
          <w:b/>
          <w:sz w:val="32"/>
          <w:szCs w:val="32"/>
        </w:rPr>
      </w:pPr>
    </w:p>
    <w:p w14:paraId="36022325">
      <w:pPr>
        <w:jc w:val="center"/>
        <w:rPr>
          <w:rFonts w:hint="default" w:ascii="Times New Roman" w:hAnsi="Times New Roman" w:eastAsia="黑体" w:cs="Times New Roman"/>
          <w:sz w:val="32"/>
          <w:szCs w:val="32"/>
        </w:rPr>
      </w:pPr>
    </w:p>
    <w:p w14:paraId="30AB473B">
      <w:pPr>
        <w:jc w:val="center"/>
        <w:rPr>
          <w:rFonts w:hint="default" w:ascii="Times New Roman" w:hAnsi="Times New Roman" w:eastAsia="黑体" w:cs="Times New Roman"/>
          <w:sz w:val="32"/>
          <w:szCs w:val="32"/>
        </w:rPr>
      </w:pPr>
    </w:p>
    <w:p w14:paraId="416B702C">
      <w:pPr>
        <w:jc w:val="center"/>
        <w:rPr>
          <w:rFonts w:hint="default" w:ascii="Times New Roman" w:hAnsi="Times New Roman" w:eastAsia="黑体" w:cs="Times New Roman"/>
          <w:sz w:val="32"/>
          <w:szCs w:val="32"/>
        </w:rPr>
      </w:pPr>
    </w:p>
    <w:p w14:paraId="37719F5D">
      <w:pPr>
        <w:jc w:val="center"/>
        <w:rPr>
          <w:rFonts w:hint="default" w:ascii="Times New Roman" w:hAnsi="Times New Roman" w:eastAsia="黑体" w:cs="Times New Roman"/>
          <w:sz w:val="32"/>
          <w:szCs w:val="32"/>
        </w:rPr>
      </w:pPr>
    </w:p>
    <w:p w14:paraId="7B61A375">
      <w:pPr>
        <w:jc w:val="both"/>
        <w:rPr>
          <w:rFonts w:hint="default" w:ascii="Times New Roman" w:hAnsi="Times New Roman" w:eastAsia="黑体" w:cs="Times New Roman"/>
          <w:sz w:val="32"/>
          <w:szCs w:val="32"/>
        </w:rPr>
      </w:pPr>
    </w:p>
    <w:p w14:paraId="354379A3">
      <w:pPr>
        <w:jc w:val="center"/>
        <w:rPr>
          <w:rFonts w:hint="default" w:ascii="Times New Roman" w:hAnsi="Times New Roman" w:eastAsia="黑体" w:cs="Times New Roman"/>
          <w:sz w:val="32"/>
          <w:szCs w:val="32"/>
        </w:rPr>
      </w:pPr>
    </w:p>
    <w:p w14:paraId="0E25DB3B">
      <w:pPr>
        <w:jc w:val="center"/>
        <w:rPr>
          <w:rFonts w:hint="default" w:ascii="Times New Roman" w:hAnsi="Times New Roman" w:eastAsia="黑体" w:cs="Times New Roman"/>
          <w:sz w:val="32"/>
          <w:szCs w:val="32"/>
        </w:rPr>
      </w:pPr>
    </w:p>
    <w:p w14:paraId="44975D82">
      <w:pPr>
        <w:spacing w:line="600" w:lineRule="exact"/>
        <w:jc w:val="center"/>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p>
    <w:p w14:paraId="7AD6C286">
      <w:pPr>
        <w:spacing w:line="600" w:lineRule="exact"/>
        <w:jc w:val="center"/>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2023</w:t>
      </w:r>
      <w:r>
        <w:rPr>
          <w:rFonts w:hint="default"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lang w:val="en-US" w:eastAsia="zh-CN"/>
        </w:rPr>
        <w:t>6</w:t>
      </w:r>
      <w:r>
        <w:rPr>
          <w:rFonts w:hint="default" w:ascii="Times New Roman" w:hAnsi="Times New Roman" w:eastAsia="楷体_GB2312" w:cs="Times New Roman"/>
          <w:sz w:val="32"/>
          <w:szCs w:val="32"/>
        </w:rPr>
        <w:t xml:space="preserve"> 月 </w:t>
      </w:r>
      <w:r>
        <w:rPr>
          <w:rFonts w:hint="eastAsia" w:ascii="Times New Roman" w:hAnsi="Times New Roman" w:eastAsia="楷体_GB2312" w:cs="Times New Roman"/>
          <w:sz w:val="32"/>
          <w:szCs w:val="32"/>
          <w:lang w:val="en-US" w:eastAsia="zh-CN"/>
        </w:rPr>
        <w:t>28</w:t>
      </w:r>
      <w:r>
        <w:rPr>
          <w:rFonts w:hint="default" w:ascii="Times New Roman" w:hAnsi="Times New Roman" w:eastAsia="楷体_GB2312" w:cs="Times New Roman"/>
          <w:sz w:val="32"/>
          <w:szCs w:val="32"/>
        </w:rPr>
        <w:t>日</w:t>
      </w:r>
    </w:p>
    <w:p w14:paraId="14212383">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（此页为封面）</w:t>
      </w:r>
    </w:p>
    <w:p w14:paraId="2B02A6C3">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14:paraId="0FED9CAF">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2022年度岳阳市生态环境局</w:t>
      </w:r>
      <w:r>
        <w:rPr>
          <w:rFonts w:hint="eastAsia" w:ascii="方正小标宋简体" w:hAnsi="方正小标宋简体" w:eastAsia="方正小标宋简体" w:cs="方正小标宋简体"/>
          <w:sz w:val="44"/>
          <w:szCs w:val="44"/>
          <w:lang w:eastAsia="zh-CN"/>
        </w:rPr>
        <w:t>君山</w:t>
      </w:r>
      <w:r>
        <w:rPr>
          <w:rFonts w:hint="eastAsia" w:ascii="方正小标宋简体" w:hAnsi="方正小标宋简体" w:eastAsia="方正小标宋简体" w:cs="方正小标宋简体"/>
          <w:sz w:val="44"/>
          <w:szCs w:val="44"/>
        </w:rPr>
        <w:t>分局整体支出绩效自评报告</w:t>
      </w:r>
    </w:p>
    <w:p w14:paraId="01957556">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rPr>
      </w:pPr>
    </w:p>
    <w:p w14:paraId="54EF443E">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部门（单位）基本情况</w:t>
      </w:r>
    </w:p>
    <w:p w14:paraId="440F67BA">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（一）职能职责</w:t>
      </w:r>
    </w:p>
    <w:p w14:paraId="235F3076">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1、受市生态环境局委托，承担辖区内的生态环境相关工作；承担市生态环境局和区管委会交办的其他任务。</w:t>
      </w:r>
    </w:p>
    <w:p w14:paraId="20FC4365">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2、负责本辖区内重点污染源在线监控系统现场监督管理；负责受理和办理生态环境保护举报（信访），负责生态环境信访维稳事件的现场调查处置工作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负责本辖区生态环境质量监测、执法监测、污染源监测和应急监测；负责辖区内生态文明示范</w:t>
      </w:r>
      <w:r>
        <w:rPr>
          <w:rFonts w:hint="eastAsia" w:ascii="仿宋_GB2312" w:hAnsi="仿宋_GB2312" w:eastAsia="仿宋_GB2312" w:cs="仿宋_GB2312"/>
          <w:b w:val="0"/>
          <w:bCs w:val="0"/>
          <w:sz w:val="32"/>
          <w:szCs w:val="32"/>
          <w:lang w:val="en-US" w:eastAsia="zh-CN"/>
        </w:rPr>
        <w:t>区</w:t>
      </w:r>
      <w:r>
        <w:rPr>
          <w:rFonts w:hint="eastAsia" w:ascii="仿宋_GB2312" w:hAnsi="仿宋_GB2312" w:eastAsia="仿宋_GB2312" w:cs="仿宋_GB2312"/>
          <w:b w:val="0"/>
          <w:bCs w:val="0"/>
          <w:sz w:val="32"/>
          <w:szCs w:val="32"/>
        </w:rPr>
        <w:t>创建。</w:t>
      </w:r>
    </w:p>
    <w:p w14:paraId="7CC72BF5">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（二）机构设置</w:t>
      </w:r>
    </w:p>
    <w:p w14:paraId="4ED965C6">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sz w:val="32"/>
          <w:szCs w:val="32"/>
          <w:lang w:eastAsia="zh-CN"/>
        </w:rPr>
        <w:t>君山</w:t>
      </w:r>
      <w:r>
        <w:rPr>
          <w:rFonts w:hint="eastAsia" w:ascii="仿宋_GB2312" w:hAnsi="仿宋_GB2312" w:eastAsia="仿宋_GB2312" w:cs="仿宋_GB2312"/>
          <w:sz w:val="32"/>
          <w:szCs w:val="32"/>
        </w:rPr>
        <w:t>生</w:t>
      </w:r>
      <w:r>
        <w:rPr>
          <w:rFonts w:hint="eastAsia" w:ascii="仿宋_GB2312" w:hAnsi="仿宋_GB2312" w:eastAsia="仿宋_GB2312" w:cs="仿宋_GB2312"/>
          <w:sz w:val="32"/>
          <w:szCs w:val="32"/>
          <w:lang w:val="en-US" w:eastAsia="zh-CN"/>
        </w:rPr>
        <w:t>态</w:t>
      </w:r>
      <w:r>
        <w:rPr>
          <w:rFonts w:hint="eastAsia" w:ascii="仿宋_GB2312" w:hAnsi="仿宋_GB2312" w:eastAsia="仿宋_GB2312" w:cs="仿宋_GB2312"/>
          <w:sz w:val="32"/>
          <w:szCs w:val="32"/>
        </w:rPr>
        <w:t>环</w:t>
      </w:r>
      <w:r>
        <w:rPr>
          <w:rFonts w:hint="eastAsia" w:ascii="仿宋_GB2312" w:hAnsi="仿宋_GB2312" w:eastAsia="仿宋_GB2312" w:cs="仿宋_GB2312"/>
          <w:sz w:val="32"/>
          <w:szCs w:val="32"/>
          <w:lang w:val="en-US" w:eastAsia="zh-CN"/>
        </w:rPr>
        <w:t>境</w:t>
      </w:r>
      <w:r>
        <w:rPr>
          <w:rFonts w:hint="eastAsia" w:ascii="仿宋_GB2312" w:hAnsi="仿宋_GB2312" w:eastAsia="仿宋_GB2312" w:cs="仿宋_GB2312"/>
          <w:sz w:val="32"/>
          <w:szCs w:val="32"/>
        </w:rPr>
        <w:t>分局属岳阳市生态环境局二级机构。根据分局的整体情况，分局下设</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个股室（办公室、监察大队、管理股、法制股）。分局目前在编人员</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借调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退休</w:t>
      </w:r>
      <w:r>
        <w:rPr>
          <w:rFonts w:hint="eastAsia" w:ascii="仿宋_GB2312" w:hAnsi="仿宋_GB2312" w:eastAsia="仿宋_GB2312" w:cs="仿宋_GB2312"/>
          <w:sz w:val="32"/>
          <w:szCs w:val="32"/>
        </w:rPr>
        <w:t>人员</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本科及以上学历占90%以上</w:t>
      </w:r>
      <w:r>
        <w:rPr>
          <w:rFonts w:hint="eastAsia" w:ascii="仿宋_GB2312" w:hAnsi="仿宋_GB2312" w:eastAsia="仿宋_GB2312" w:cs="仿宋_GB2312"/>
          <w:b w:val="0"/>
          <w:bCs w:val="0"/>
          <w:sz w:val="32"/>
          <w:szCs w:val="32"/>
          <w:lang w:eastAsia="zh-CN"/>
        </w:rPr>
        <w:t>。</w:t>
      </w:r>
    </w:p>
    <w:p w14:paraId="2863449C">
      <w:pPr>
        <w:pStyle w:val="7"/>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二、一般公共预算支出情况</w:t>
      </w:r>
    </w:p>
    <w:p w14:paraId="0B393E33">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我分局整体支出只有基本支出，没有专项支出。基本支出主要用于人员经费和环境宣传、固定资产采购、“三公”经费等公用支出。我分局202</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年度总支出</w:t>
      </w:r>
      <w:r>
        <w:rPr>
          <w:rFonts w:hint="eastAsia" w:ascii="仿宋_GB2312" w:hAnsi="仿宋_GB2312" w:eastAsia="仿宋_GB2312" w:cs="仿宋_GB2312"/>
          <w:b w:val="0"/>
          <w:bCs/>
          <w:sz w:val="32"/>
          <w:szCs w:val="32"/>
          <w:lang w:val="en-US" w:eastAsia="zh-CN"/>
        </w:rPr>
        <w:t>1092.90</w:t>
      </w:r>
      <w:r>
        <w:rPr>
          <w:rFonts w:hint="eastAsia" w:ascii="仿宋_GB2312" w:hAnsi="仿宋_GB2312" w:eastAsia="仿宋_GB2312" w:cs="仿宋_GB2312"/>
          <w:b w:val="0"/>
          <w:bCs/>
          <w:sz w:val="32"/>
          <w:szCs w:val="32"/>
        </w:rPr>
        <w:t>万元，其中</w:t>
      </w:r>
      <w:r>
        <w:rPr>
          <w:rFonts w:hint="eastAsia" w:ascii="仿宋_GB2312" w:hAnsi="仿宋_GB2312" w:eastAsia="仿宋_GB2312" w:cs="仿宋_GB2312"/>
          <w:b w:val="0"/>
          <w:bCs/>
          <w:sz w:val="32"/>
          <w:szCs w:val="32"/>
          <w:lang w:val="en-US" w:eastAsia="zh-CN"/>
        </w:rPr>
        <w:t>工资福利性支出187.66</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val="en-US" w:eastAsia="zh-CN"/>
        </w:rPr>
        <w:t>商品和服务性支出263.75</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其他对个人及家庭的补助7.92万元，资本性支出633.57万元</w:t>
      </w:r>
      <w:r>
        <w:rPr>
          <w:rFonts w:hint="eastAsia" w:ascii="仿宋_GB2312" w:hAnsi="仿宋_GB2312" w:eastAsia="仿宋_GB2312" w:cs="仿宋_GB2312"/>
          <w:b w:val="0"/>
          <w:bCs/>
          <w:sz w:val="32"/>
          <w:szCs w:val="32"/>
        </w:rPr>
        <w:t>。</w:t>
      </w:r>
    </w:p>
    <w:p w14:paraId="22B63930">
      <w:pPr>
        <w:pStyle w:val="4"/>
        <w:widowControl/>
        <w:wordWrap w:val="0"/>
        <w:snapToGrid w:val="0"/>
        <w:spacing w:before="150" w:after="150" w:line="62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年我局</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三公</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经费</w:t>
      </w:r>
      <w:r>
        <w:rPr>
          <w:rFonts w:hint="eastAsia" w:ascii="仿宋_GB2312" w:hAnsi="仿宋_GB2312" w:eastAsia="仿宋_GB2312" w:cs="仿宋_GB2312"/>
          <w:b w:val="0"/>
          <w:bCs/>
          <w:sz w:val="32"/>
          <w:szCs w:val="32"/>
          <w:lang w:val="en-US" w:eastAsia="zh-CN"/>
        </w:rPr>
        <w:t>合计5.42</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val="en-US" w:eastAsia="zh-CN"/>
        </w:rPr>
        <w:t>0.7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与上年度1.6万元相比，减少了0.9万元，</w:t>
      </w:r>
      <w:r>
        <w:rPr>
          <w:rFonts w:hint="eastAsia" w:ascii="仿宋_GB2312" w:hAnsi="仿宋_GB2312" w:eastAsia="仿宋_GB2312" w:cs="仿宋_GB2312"/>
          <w:sz w:val="32"/>
          <w:szCs w:val="32"/>
        </w:rPr>
        <w:t>实现了厉行节约的宗旨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4.72万元与上年度4.56万元相比，增加了0.16万元，原因是公务车使用年限已久，车辆零部件老化，油耗逐年升高;</w:t>
      </w:r>
      <w:r>
        <w:rPr>
          <w:rFonts w:hint="eastAsia" w:ascii="仿宋_GB2312" w:hAnsi="仿宋_GB2312" w:eastAsia="仿宋_GB2312" w:cs="仿宋_GB2312"/>
          <w:b w:val="0"/>
          <w:bCs/>
          <w:sz w:val="32"/>
          <w:szCs w:val="32"/>
        </w:rPr>
        <w:t>公务用车购置费0万元；因公出国费0万元。</w:t>
      </w:r>
    </w:p>
    <w:p w14:paraId="270A6E91">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政府性基金预算支出情况</w:t>
      </w:r>
    </w:p>
    <w:p w14:paraId="238D6856">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年本单位没有使用政府性基金预算安排的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14:paraId="028CC623">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国有资本经营预算支出情况</w:t>
      </w:r>
    </w:p>
    <w:p w14:paraId="3AA88167">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国有资本经营预算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14:paraId="2549D253">
      <w:pPr>
        <w:pStyle w:val="7"/>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社会保险基金预算支出情况</w:t>
      </w:r>
    </w:p>
    <w:p w14:paraId="1352FDFB">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社会保险基金预算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14:paraId="50741771">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六、部门整体支出绩效情况</w:t>
      </w:r>
    </w:p>
    <w:p w14:paraId="05519892">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pacing w:val="0"/>
          <w:sz w:val="32"/>
          <w:szCs w:val="32"/>
          <w:lang w:val="en-US" w:eastAsia="zh-CN"/>
        </w:rPr>
      </w:pPr>
      <w:r>
        <w:rPr>
          <w:rFonts w:ascii="Times New Roman" w:hAnsi="楷体_GB2312" w:eastAsia="楷体_GB2312" w:cs="Times New Roman"/>
          <w:b/>
          <w:bCs/>
          <w:sz w:val="32"/>
          <w:szCs w:val="32"/>
        </w:rPr>
        <w:t>（一）</w:t>
      </w:r>
      <w:r>
        <w:rPr>
          <w:rFonts w:hint="eastAsia" w:ascii="楷体_GB2312" w:hAnsi="楷体_GB2312" w:eastAsia="楷体_GB2312" w:cs="楷体_GB2312"/>
          <w:b/>
          <w:bCs/>
          <w:spacing w:val="0"/>
          <w:sz w:val="32"/>
          <w:szCs w:val="32"/>
          <w:lang w:val="en-US" w:eastAsia="zh-CN"/>
        </w:rPr>
        <w:t>齐抓共管，突出环境问题整改成效明显</w:t>
      </w:r>
    </w:p>
    <w:p w14:paraId="3FF1D044">
      <w:pPr>
        <w:pStyle w:val="8"/>
        <w:keepNext w:val="0"/>
        <w:keepLines w:val="0"/>
        <w:pageBreakBefore w:val="0"/>
        <w:widowControl w:val="0"/>
        <w:kinsoku/>
        <w:wordWrap/>
        <w:overflowPunct/>
        <w:topLinePunct w:val="0"/>
        <w:autoSpaceDE/>
        <w:autoSpaceDN/>
        <w:bidi w:val="0"/>
        <w:spacing w:line="630" w:lineRule="exact"/>
        <w:ind w:left="0" w:leftChars="0" w:firstLine="643"/>
        <w:textAlignment w:val="auto"/>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为</w:t>
      </w:r>
      <w:r>
        <w:rPr>
          <w:rFonts w:hint="eastAsia" w:ascii="仿宋_GB2312" w:hAnsi="仿宋_GB2312" w:eastAsia="仿宋_GB2312" w:cs="仿宋_GB2312"/>
          <w:spacing w:val="0"/>
          <w:sz w:val="32"/>
          <w:szCs w:val="32"/>
        </w:rPr>
        <w:t>全</w:t>
      </w:r>
      <w:r>
        <w:rPr>
          <w:rFonts w:hint="eastAsia" w:ascii="仿宋_GB2312" w:hAnsi="仿宋_GB2312" w:eastAsia="仿宋_GB2312" w:cs="仿宋_GB2312"/>
          <w:spacing w:val="0"/>
          <w:sz w:val="32"/>
          <w:szCs w:val="32"/>
          <w:lang w:eastAsia="zh-CN"/>
        </w:rPr>
        <w:t>面</w:t>
      </w:r>
      <w:r>
        <w:rPr>
          <w:rFonts w:hint="eastAsia" w:ascii="仿宋_GB2312" w:hAnsi="仿宋_GB2312" w:eastAsia="仿宋_GB2312" w:cs="仿宋_GB2312"/>
          <w:spacing w:val="0"/>
          <w:sz w:val="32"/>
          <w:szCs w:val="32"/>
        </w:rPr>
        <w:t>打好</w:t>
      </w:r>
      <w:r>
        <w:rPr>
          <w:rFonts w:hint="eastAsia" w:ascii="仿宋_GB2312" w:hAnsi="仿宋_GB2312" w:eastAsia="仿宋_GB2312" w:cs="仿宋_GB2312"/>
          <w:spacing w:val="0"/>
          <w:sz w:val="32"/>
          <w:szCs w:val="32"/>
          <w:lang w:eastAsia="zh-CN"/>
        </w:rPr>
        <w:t>打赢</w:t>
      </w:r>
      <w:r>
        <w:rPr>
          <w:rFonts w:hint="eastAsia" w:ascii="仿宋_GB2312" w:hAnsi="仿宋_GB2312" w:eastAsia="仿宋_GB2312" w:cs="仿宋_GB2312"/>
          <w:spacing w:val="0"/>
          <w:sz w:val="32"/>
          <w:szCs w:val="32"/>
        </w:rPr>
        <w:t>各项污染防治攻坚战，</w:t>
      </w:r>
      <w:r>
        <w:rPr>
          <w:rFonts w:hint="eastAsia" w:ascii="仿宋_GB2312" w:hAnsi="仿宋_GB2312" w:eastAsia="仿宋_GB2312" w:cs="仿宋_GB2312"/>
          <w:spacing w:val="0"/>
          <w:sz w:val="32"/>
          <w:szCs w:val="32"/>
          <w:lang w:val="en-US" w:eastAsia="zh-CN"/>
        </w:rPr>
        <w:t>区委区政府先后6次召集常委会议环保工作，对我区“5+1”突出环境问题专项督查作了具体安排部署、明确区级责任领导和责任单位，对标对表，倒排期限，一个问题抓到底。始终</w:t>
      </w:r>
      <w:r>
        <w:rPr>
          <w:rFonts w:hint="eastAsia" w:ascii="仿宋_GB2312" w:hAnsi="仿宋_GB2312" w:eastAsia="仿宋_GB2312" w:cs="仿宋_GB2312"/>
          <w:spacing w:val="0"/>
          <w:sz w:val="32"/>
          <w:szCs w:val="32"/>
        </w:rPr>
        <w:t>坚持问题导向、突出整治重点</w:t>
      </w:r>
      <w:r>
        <w:rPr>
          <w:rFonts w:hint="eastAsia" w:ascii="仿宋_GB2312" w:hAnsi="仿宋_GB2312" w:eastAsia="仿宋_GB2312" w:cs="仿宋_GB2312"/>
          <w:spacing w:val="0"/>
          <w:sz w:val="32"/>
          <w:szCs w:val="32"/>
          <w:lang w:eastAsia="zh-CN"/>
        </w:rPr>
        <w:t>，</w:t>
      </w:r>
      <w:r>
        <w:rPr>
          <w:rFonts w:hint="eastAsia" w:ascii="Times New Roman" w:hAnsi="Times New Roman" w:eastAsia="仿宋_GB2312" w:cs="Times New Roman"/>
          <w:kern w:val="0"/>
          <w:sz w:val="32"/>
          <w:szCs w:val="32"/>
          <w:lang w:val="en-US" w:eastAsia="zh-CN" w:bidi="ar-SA"/>
        </w:rPr>
        <w:t>全面完成污染防治攻坚战清单及中央、省级层面共交办涉君山突出环境问题销号涉君山突出环境问题34个销号；处理57个信访件；</w:t>
      </w:r>
      <w:r>
        <w:rPr>
          <w:rFonts w:hint="default" w:ascii="仿宋_GB2312" w:hAnsi="仿宋_GB2312" w:eastAsia="仿宋_GB2312" w:cs="仿宋_GB2312"/>
          <w:spacing w:val="0"/>
          <w:sz w:val="32"/>
          <w:szCs w:val="32"/>
          <w:lang w:val="en-US" w:eastAsia="zh-CN"/>
        </w:rPr>
        <w:t>中央、省市各项督察交办我区</w:t>
      </w:r>
      <w:r>
        <w:rPr>
          <w:rFonts w:hint="eastAsia" w:ascii="仿宋_GB2312" w:hAnsi="仿宋_GB2312" w:eastAsia="仿宋_GB2312" w:cs="仿宋_GB2312"/>
          <w:spacing w:val="0"/>
          <w:sz w:val="32"/>
          <w:szCs w:val="32"/>
          <w:lang w:val="en-US" w:eastAsia="zh-CN"/>
        </w:rPr>
        <w:t>12个问题全部完成</w:t>
      </w:r>
      <w:r>
        <w:rPr>
          <w:rFonts w:hint="default" w:ascii="仿宋_GB2312" w:hAnsi="仿宋_GB2312" w:eastAsia="仿宋_GB2312" w:cs="仿宋_GB2312"/>
          <w:spacing w:val="0"/>
          <w:sz w:val="32"/>
          <w:szCs w:val="32"/>
          <w:lang w:val="en-US" w:eastAsia="zh-CN"/>
        </w:rPr>
        <w:t>整改销号工作</w:t>
      </w:r>
      <w:r>
        <w:rPr>
          <w:rFonts w:hint="eastAsia" w:ascii="仿宋_GB2312" w:hAnsi="仿宋_GB2312" w:eastAsia="仿宋_GB2312" w:cs="仿宋_GB2312"/>
          <w:spacing w:val="0"/>
          <w:sz w:val="32"/>
          <w:szCs w:val="32"/>
          <w:lang w:val="en-US" w:eastAsia="zh-CN"/>
        </w:rPr>
        <w:t>、</w:t>
      </w:r>
      <w:r>
        <w:rPr>
          <w:rFonts w:hint="default" w:ascii="仿宋_GB2312" w:hAnsi="仿宋_GB2312" w:eastAsia="仿宋_GB2312" w:cs="仿宋_GB2312"/>
          <w:spacing w:val="0"/>
          <w:sz w:val="32"/>
          <w:szCs w:val="32"/>
          <w:lang w:val="en-US" w:eastAsia="zh-CN"/>
        </w:rPr>
        <w:t>提前完成</w:t>
      </w:r>
      <w:r>
        <w:rPr>
          <w:rFonts w:hint="eastAsia" w:ascii="仿宋_GB2312" w:hAnsi="仿宋_GB2312" w:eastAsia="仿宋_GB2312" w:cs="仿宋_GB2312"/>
          <w:spacing w:val="0"/>
          <w:sz w:val="32"/>
          <w:szCs w:val="32"/>
          <w:lang w:val="en-US" w:eastAsia="zh-CN"/>
        </w:rPr>
        <w:t>20个</w:t>
      </w:r>
      <w:r>
        <w:rPr>
          <w:rFonts w:hint="default" w:ascii="仿宋_GB2312" w:hAnsi="仿宋_GB2312" w:eastAsia="仿宋_GB2312" w:cs="仿宋_GB2312"/>
          <w:spacing w:val="0"/>
          <w:sz w:val="32"/>
          <w:szCs w:val="32"/>
          <w:lang w:val="en-US" w:eastAsia="zh-CN"/>
        </w:rPr>
        <w:t>“夏季攻势”问题的整改销号工作</w:t>
      </w:r>
      <w:r>
        <w:rPr>
          <w:rFonts w:hint="eastAsia" w:ascii="仿宋_GB2312" w:hAnsi="仿宋_GB2312" w:eastAsia="仿宋_GB2312" w:cs="仿宋_GB2312"/>
          <w:spacing w:val="0"/>
          <w:sz w:val="32"/>
          <w:szCs w:val="32"/>
          <w:lang w:val="en-US" w:eastAsia="zh-CN"/>
        </w:rPr>
        <w:t>、“利剑”行动排查出18个环境风险隐患全面督促完成整改；</w:t>
      </w:r>
      <w:r>
        <w:rPr>
          <w:rFonts w:hint="eastAsia" w:ascii="Times New Roman" w:hAnsi="Times New Roman" w:eastAsia="仿宋_GB2312" w:cs="Times New Roman"/>
          <w:kern w:val="0"/>
          <w:sz w:val="32"/>
          <w:szCs w:val="32"/>
          <w:lang w:val="en-US" w:eastAsia="zh-CN" w:bidi="ar-SA"/>
        </w:rPr>
        <w:t>2019-2022年市“洞庭清波”交办98个问题全部完成销号，无一反弹。</w:t>
      </w:r>
    </w:p>
    <w:p w14:paraId="2CD68A02">
      <w:pPr>
        <w:pStyle w:val="8"/>
        <w:keepNext w:val="0"/>
        <w:keepLines w:val="0"/>
        <w:pageBreakBefore w:val="0"/>
        <w:widowControl w:val="0"/>
        <w:kinsoku/>
        <w:wordWrap/>
        <w:overflowPunct/>
        <w:topLinePunct w:val="0"/>
        <w:autoSpaceDE/>
        <w:autoSpaceDN/>
        <w:bidi w:val="0"/>
        <w:spacing w:line="630" w:lineRule="exact"/>
        <w:ind w:left="0" w:leftChars="0" w:firstLine="643"/>
        <w:textAlignment w:val="auto"/>
        <w:rPr>
          <w:rFonts w:hint="default"/>
        </w:rPr>
      </w:pPr>
      <w:r>
        <w:rPr>
          <w:rFonts w:ascii="Times New Roman" w:hAnsi="楷体_GB2312" w:eastAsia="楷体_GB2312" w:cs="Times New Roman"/>
          <w:b/>
          <w:bCs/>
          <w:sz w:val="32"/>
          <w:szCs w:val="32"/>
        </w:rPr>
        <w:t>（二</w:t>
      </w:r>
      <w:r>
        <w:rPr>
          <w:rFonts w:hint="eastAsia" w:ascii="Times New Roman" w:hAnsi="楷体_GB2312" w:eastAsia="楷体_GB2312" w:cs="Times New Roman"/>
          <w:b/>
          <w:bCs/>
          <w:sz w:val="32"/>
          <w:szCs w:val="32"/>
          <w:lang w:eastAsia="zh-CN"/>
        </w:rPr>
        <w:t>）</w:t>
      </w:r>
      <w:r>
        <w:rPr>
          <w:rFonts w:hint="eastAsia" w:ascii="楷体_GB2312" w:hAnsi="楷体_GB2312" w:eastAsia="楷体_GB2312" w:cs="楷体_GB2312"/>
          <w:b/>
          <w:bCs/>
          <w:spacing w:val="0"/>
          <w:sz w:val="32"/>
          <w:szCs w:val="32"/>
          <w:lang w:val="en-US" w:eastAsia="zh-CN"/>
        </w:rPr>
        <w:t>问题导向、打好水污染防治攻坚战。</w:t>
      </w:r>
    </w:p>
    <w:p w14:paraId="0D278FDE">
      <w:pPr>
        <w:keepNext w:val="0"/>
        <w:keepLines w:val="0"/>
        <w:pageBreakBefore w:val="0"/>
        <w:widowControl w:val="0"/>
        <w:kinsoku/>
        <w:wordWrap/>
        <w:overflowPunct/>
        <w:topLinePunct w:val="0"/>
        <w:autoSpaceDE/>
        <w:autoSpaceDN/>
        <w:bidi w:val="0"/>
        <w:spacing w:line="630" w:lineRule="exact"/>
        <w:ind w:left="0" w:leftChars="0" w:firstLine="643"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1.</w:t>
      </w:r>
      <w:r>
        <w:rPr>
          <w:rFonts w:hint="eastAsia" w:ascii="仿宋_GB2312" w:hAnsi="仿宋_GB2312" w:eastAsia="仿宋_GB2312" w:cs="仿宋_GB2312"/>
          <w:b/>
          <w:bCs/>
          <w:spacing w:val="0"/>
          <w:sz w:val="32"/>
          <w:szCs w:val="32"/>
          <w:lang w:val="en-US" w:eastAsia="zh-CN"/>
        </w:rPr>
        <w:t>扎实推进洞庭湖总磷削减</w:t>
      </w:r>
      <w:r>
        <w:rPr>
          <w:rFonts w:ascii="Times New Roman" w:hAnsi="Times New Roman" w:eastAsia="仿宋_GB2312" w:cs="Times New Roman"/>
          <w:b/>
          <w:bCs/>
          <w:sz w:val="32"/>
          <w:szCs w:val="32"/>
        </w:rPr>
        <w:t>。</w:t>
      </w:r>
      <w:r>
        <w:rPr>
          <w:rFonts w:hint="eastAsia" w:ascii="仿宋_GB2312" w:hAnsi="仿宋_GB2312" w:eastAsia="仿宋_GB2312" w:cs="仿宋_GB2312"/>
          <w:spacing w:val="0"/>
          <w:sz w:val="32"/>
          <w:szCs w:val="32"/>
          <w:lang w:val="en-US" w:eastAsia="zh-CN"/>
        </w:rPr>
        <w:t>针对辖区内3个监控断面、5个饮用水源地蓝藻水华情况认真开展了巡查和预警监测；并委托第三方公司完成了辖区内5个饮用水源评估报告的编制，并通过了上级部门的审查。</w:t>
      </w:r>
    </w:p>
    <w:p w14:paraId="2CE57119">
      <w:pPr>
        <w:keepNext w:val="0"/>
        <w:keepLines w:val="0"/>
        <w:pageBreakBefore w:val="0"/>
        <w:widowControl w:val="0"/>
        <w:kinsoku/>
        <w:wordWrap/>
        <w:overflowPunct/>
        <w:topLinePunct w:val="0"/>
        <w:autoSpaceDE/>
        <w:autoSpaceDN/>
        <w:bidi w:val="0"/>
        <w:spacing w:line="630" w:lineRule="exact"/>
        <w:ind w:left="0" w:leftChars="0" w:firstLine="643" w:firstLineChars="200"/>
        <w:textAlignment w:val="auto"/>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pPr>
      <w:r>
        <w:rPr>
          <w:rFonts w:ascii="Times New Roman" w:hAnsi="Times New Roman" w:eastAsia="仿宋_GB2312" w:cs="Times New Roman"/>
          <w:b/>
          <w:bCs/>
          <w:sz w:val="32"/>
          <w:szCs w:val="32"/>
        </w:rPr>
        <w:t>2.</w:t>
      </w:r>
      <w:r>
        <w:rPr>
          <w:rFonts w:hint="eastAsia" w:ascii="仿宋_GB2312" w:hAnsi="仿宋_GB2312" w:eastAsia="仿宋_GB2312" w:cs="仿宋_GB2312"/>
          <w:b/>
          <w:bCs/>
          <w:color w:val="auto"/>
          <w:spacing w:val="0"/>
          <w:sz w:val="32"/>
          <w:szCs w:val="32"/>
          <w:lang w:val="en-US" w:eastAsia="zh-CN"/>
        </w:rPr>
        <w:t>开展长江入河排污口专项整治。</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我们对照清单，制定了君山区《长江入河排污口“一口一策”整治方案》，按照省厅的技术规范新制作了55块长江入河排污口标识标牌。</w:t>
      </w:r>
    </w:p>
    <w:p w14:paraId="62333E2C">
      <w:pPr>
        <w:keepNext w:val="0"/>
        <w:keepLines w:val="0"/>
        <w:pageBreakBefore w:val="0"/>
        <w:widowControl w:val="0"/>
        <w:kinsoku/>
        <w:wordWrap/>
        <w:overflowPunct/>
        <w:topLinePunct w:val="0"/>
        <w:autoSpaceDE/>
        <w:autoSpaceDN/>
        <w:bidi w:val="0"/>
        <w:spacing w:line="630" w:lineRule="exact"/>
        <w:ind w:left="0" w:leftChars="0" w:firstLine="643" w:firstLineChars="200"/>
        <w:textAlignment w:val="auto"/>
        <w:rPr>
          <w:rFonts w:hint="eastAsia" w:ascii="仿宋_GB2312" w:hAnsi="仿宋_GB2312" w:eastAsia="仿宋_GB2312" w:cs="仿宋_GB2312"/>
          <w:spacing w:val="0"/>
          <w:sz w:val="32"/>
          <w:szCs w:val="32"/>
          <w:lang w:val="en-US" w:eastAsia="zh-CN"/>
        </w:rPr>
      </w:pPr>
      <w:r>
        <w:rPr>
          <w:rFonts w:ascii="Times New Roman" w:hAnsi="Times New Roman" w:eastAsia="仿宋_GB2312" w:cs="Times New Roman"/>
          <w:b/>
          <w:bCs/>
          <w:sz w:val="32"/>
          <w:szCs w:val="32"/>
        </w:rPr>
        <w:t>3.</w:t>
      </w:r>
      <w:r>
        <w:rPr>
          <w:rFonts w:hint="eastAsia" w:ascii="仿宋_GB2312" w:hAnsi="仿宋_GB2312" w:eastAsia="仿宋_GB2312" w:cs="仿宋_GB2312"/>
          <w:b/>
          <w:bCs/>
          <w:color w:val="auto"/>
          <w:spacing w:val="0"/>
          <w:sz w:val="32"/>
          <w:szCs w:val="32"/>
          <w:lang w:val="en-US" w:eastAsia="zh-CN"/>
        </w:rPr>
        <w:t>稳步推进农村生活污水治理</w:t>
      </w:r>
      <w:r>
        <w:rPr>
          <w:rFonts w:ascii="Times New Roman" w:hAnsi="Times New Roman" w:eastAsia="仿宋_GB2312" w:cs="Times New Roman"/>
          <w:b/>
          <w:bCs/>
          <w:sz w:val="32"/>
          <w:szCs w:val="32"/>
        </w:rPr>
        <w:t>。</w:t>
      </w:r>
      <w:r>
        <w:rPr>
          <w:rFonts w:hint="eastAsia" w:ascii="仿宋_GB2312" w:hAnsi="仿宋_GB2312" w:eastAsia="仿宋_GB2312" w:cs="仿宋_GB2312"/>
          <w:spacing w:val="0"/>
          <w:sz w:val="32"/>
          <w:szCs w:val="32"/>
          <w:lang w:eastAsia="zh-CN"/>
        </w:rPr>
        <w:t>七星湖村、高桥村纳入省市</w:t>
      </w:r>
      <w:r>
        <w:rPr>
          <w:rFonts w:hint="eastAsia" w:ascii="仿宋_GB2312" w:hAnsi="仿宋_GB2312" w:eastAsia="仿宋_GB2312" w:cs="仿宋_GB2312"/>
          <w:spacing w:val="0"/>
          <w:sz w:val="32"/>
          <w:szCs w:val="32"/>
          <w:lang w:val="en-US" w:eastAsia="zh-CN"/>
        </w:rPr>
        <w:t>农村环境整治任务，高桥村已安装三格化粪池160个、七星湖村已安装三格化粪池236个，我区农村生活污水治理率达63.9%（考核要求40%），全省排名靠前</w:t>
      </w:r>
    </w:p>
    <w:p w14:paraId="1B49B290">
      <w:pPr>
        <w:pStyle w:val="2"/>
        <w:ind w:firstLine="643" w:firstLineChars="200"/>
        <w:jc w:val="left"/>
        <w:rPr>
          <w:rFonts w:hint="eastAsia" w:ascii="仿宋_GB2312" w:hAnsi="仿宋_GB2312" w:eastAsia="仿宋_GB2312" w:cs="仿宋_GB2312"/>
          <w:spacing w:val="0"/>
          <w:sz w:val="32"/>
          <w:szCs w:val="32"/>
          <w:lang w:eastAsia="zh-CN"/>
        </w:rPr>
      </w:pPr>
      <w:r>
        <w:rPr>
          <w:rFonts w:ascii="Times New Roman" w:hAnsi="Times New Roman" w:eastAsia="仿宋_GB2312" w:cs="Times New Roman"/>
          <w:b/>
          <w:bCs/>
          <w:sz w:val="32"/>
          <w:szCs w:val="32"/>
        </w:rPr>
        <w:t>4.</w:t>
      </w:r>
      <w:r>
        <w:rPr>
          <w:rFonts w:hint="eastAsia" w:ascii="仿宋_GB2312" w:hAnsi="仿宋_GB2312" w:eastAsia="仿宋_GB2312" w:cs="仿宋_GB2312"/>
          <w:b/>
          <w:bCs/>
          <w:spacing w:val="0"/>
          <w:sz w:val="32"/>
          <w:szCs w:val="32"/>
          <w:lang w:val="en-US" w:eastAsia="zh-CN"/>
        </w:rPr>
        <w:t>开展养殖尾水治理</w:t>
      </w:r>
      <w:r>
        <w:rPr>
          <w:rFonts w:ascii="Times New Roman" w:hAnsi="Times New Roman" w:eastAsia="仿宋_GB2312" w:cs="Times New Roman"/>
          <w:b/>
          <w:bCs/>
          <w:sz w:val="32"/>
          <w:szCs w:val="32"/>
        </w:rPr>
        <w:t>。</w:t>
      </w:r>
      <w:r>
        <w:rPr>
          <w:rFonts w:hint="eastAsia" w:ascii="仿宋_GB2312" w:hAnsi="仿宋_GB2312" w:eastAsia="仿宋_GB2312" w:cs="仿宋_GB2312"/>
          <w:spacing w:val="0"/>
          <w:sz w:val="32"/>
          <w:szCs w:val="32"/>
          <w:lang w:val="en-US" w:eastAsia="zh-CN"/>
        </w:rPr>
        <w:t>全面完成柳林洲永城村1150亩才鱼养殖尾水治理工程，</w:t>
      </w:r>
      <w:r>
        <w:rPr>
          <w:rFonts w:hint="eastAsia" w:ascii="仿宋_GB2312" w:hAnsi="仿宋_GB2312" w:eastAsia="仿宋_GB2312" w:cs="仿宋_GB2312"/>
          <w:b w:val="0"/>
          <w:bCs w:val="0"/>
          <w:spacing w:val="0"/>
          <w:sz w:val="32"/>
          <w:szCs w:val="32"/>
          <w:lang w:val="en-US" w:eastAsia="zh-CN"/>
        </w:rPr>
        <w:t>对岳阳监狱</w:t>
      </w:r>
      <w:r>
        <w:rPr>
          <w:rFonts w:hint="eastAsia" w:ascii="仿宋_GB2312" w:hAnsi="仿宋_GB2312" w:eastAsia="仿宋_GB2312" w:cs="仿宋_GB2312"/>
          <w:spacing w:val="0"/>
          <w:sz w:val="32"/>
          <w:szCs w:val="32"/>
        </w:rPr>
        <w:t>溢恒隆牛蛙养殖基地</w:t>
      </w:r>
      <w:r>
        <w:rPr>
          <w:rFonts w:hint="eastAsia" w:ascii="仿宋_GB2312" w:hAnsi="仿宋_GB2312" w:eastAsia="仿宋_GB2312" w:cs="仿宋_GB2312"/>
          <w:spacing w:val="0"/>
          <w:sz w:val="32"/>
          <w:szCs w:val="32"/>
          <w:lang w:eastAsia="zh-CN"/>
        </w:rPr>
        <w:t>未批先</w:t>
      </w:r>
      <w:r>
        <w:rPr>
          <w:rFonts w:hint="eastAsia" w:ascii="仿宋_GB2312" w:hAnsi="仿宋_GB2312" w:eastAsia="仿宋_GB2312" w:cs="仿宋_GB2312"/>
          <w:spacing w:val="0"/>
          <w:sz w:val="32"/>
          <w:szCs w:val="32"/>
          <w:lang w:val="en-US" w:eastAsia="zh-CN"/>
        </w:rPr>
        <w:t>建违法行为</w:t>
      </w:r>
      <w:r>
        <w:rPr>
          <w:rFonts w:hint="eastAsia" w:ascii="仿宋_GB2312" w:hAnsi="仿宋_GB2312" w:eastAsia="仿宋_GB2312" w:cs="仿宋_GB2312"/>
          <w:spacing w:val="0"/>
          <w:sz w:val="32"/>
          <w:szCs w:val="32"/>
          <w:lang w:eastAsia="zh-CN"/>
        </w:rPr>
        <w:t>进行立案查处，并</w:t>
      </w:r>
      <w:r>
        <w:rPr>
          <w:rFonts w:hint="eastAsia" w:ascii="仿宋_GB2312" w:hAnsi="仿宋_GB2312" w:eastAsia="仿宋_GB2312" w:cs="仿宋_GB2312"/>
          <w:b w:val="0"/>
          <w:bCs w:val="0"/>
          <w:spacing w:val="0"/>
          <w:sz w:val="32"/>
          <w:szCs w:val="32"/>
          <w:lang w:val="en-US" w:eastAsia="zh-CN"/>
        </w:rPr>
        <w:t>责令</w:t>
      </w:r>
      <w:r>
        <w:rPr>
          <w:rFonts w:hint="eastAsia" w:ascii="仿宋_GB2312" w:hAnsi="仿宋_GB2312" w:eastAsia="仿宋_GB2312" w:cs="仿宋_GB2312"/>
          <w:spacing w:val="0"/>
          <w:sz w:val="32"/>
          <w:szCs w:val="32"/>
          <w:lang w:eastAsia="zh-CN"/>
        </w:rPr>
        <w:t>开展</w:t>
      </w:r>
      <w:r>
        <w:rPr>
          <w:rFonts w:hint="eastAsia" w:ascii="仿宋_GB2312" w:hAnsi="仿宋_GB2312" w:eastAsia="仿宋_GB2312" w:cs="仿宋_GB2312"/>
          <w:spacing w:val="0"/>
          <w:sz w:val="32"/>
          <w:szCs w:val="32"/>
        </w:rPr>
        <w:t>养殖尾水</w:t>
      </w:r>
      <w:r>
        <w:rPr>
          <w:rFonts w:hint="eastAsia" w:ascii="仿宋_GB2312" w:hAnsi="仿宋_GB2312" w:eastAsia="仿宋_GB2312" w:cs="仿宋_GB2312"/>
          <w:spacing w:val="0"/>
          <w:sz w:val="32"/>
          <w:szCs w:val="32"/>
          <w:lang w:eastAsia="zh-CN"/>
        </w:rPr>
        <w:t>整治。</w:t>
      </w:r>
    </w:p>
    <w:p w14:paraId="4FF9296E">
      <w:pPr>
        <w:keepNext w:val="0"/>
        <w:keepLines w:val="0"/>
        <w:pageBreakBefore w:val="0"/>
        <w:widowControl w:val="0"/>
        <w:kinsoku/>
        <w:wordWrap/>
        <w:overflowPunct/>
        <w:topLinePunct w:val="0"/>
        <w:autoSpaceDE/>
        <w:autoSpaceDN/>
        <w:bidi w:val="0"/>
        <w:spacing w:line="630" w:lineRule="exact"/>
        <w:ind w:firstLine="643" w:firstLineChars="200"/>
        <w:textAlignment w:val="auto"/>
        <w:rPr>
          <w:rFonts w:ascii="Times New Roman" w:hAnsi="Times New Roman" w:eastAsia="楷体" w:cs="Times New Roman"/>
          <w:b/>
          <w:bCs/>
          <w:sz w:val="32"/>
          <w:szCs w:val="32"/>
        </w:rPr>
      </w:pPr>
      <w:r>
        <w:rPr>
          <w:rFonts w:ascii="Times New Roman" w:hAnsi="楷体_GB2312" w:eastAsia="楷体_GB2312" w:cs="Times New Roman"/>
          <w:b/>
          <w:bCs/>
          <w:sz w:val="32"/>
          <w:szCs w:val="32"/>
        </w:rPr>
        <w:t>（三）</w:t>
      </w:r>
      <w:r>
        <w:rPr>
          <w:rFonts w:hint="eastAsia" w:ascii="楷体_GB2312" w:hAnsi="楷体_GB2312" w:eastAsia="楷体_GB2312" w:cs="楷体_GB2312"/>
          <w:b/>
          <w:bCs/>
          <w:spacing w:val="0"/>
          <w:sz w:val="32"/>
          <w:szCs w:val="32"/>
          <w:lang w:val="en-US" w:eastAsia="zh-CN"/>
        </w:rPr>
        <w:t>真抓实干，打赢大气污染防治攻坚战。</w:t>
      </w:r>
    </w:p>
    <w:p w14:paraId="68CB1F46">
      <w:pPr>
        <w:keepNext w:val="0"/>
        <w:keepLines w:val="0"/>
        <w:pageBreakBefore w:val="0"/>
        <w:widowControl w:val="0"/>
        <w:kinsoku/>
        <w:wordWrap/>
        <w:overflowPunct/>
        <w:topLinePunct w:val="0"/>
        <w:autoSpaceDE/>
        <w:autoSpaceDN/>
        <w:bidi w:val="0"/>
        <w:spacing w:line="630" w:lineRule="exact"/>
        <w:ind w:left="0" w:leftChars="0" w:firstLine="643" w:firstLineChars="200"/>
        <w:textAlignment w:val="auto"/>
        <w:rPr>
          <w:rFonts w:hint="eastAsia" w:ascii="仿宋_GB2312" w:hAnsi="仿宋_GB2312" w:eastAsia="仿宋_GB2312" w:cs="仿宋_GB2312"/>
          <w:b w:val="0"/>
          <w:bCs w:val="0"/>
          <w:spacing w:val="0"/>
          <w:sz w:val="32"/>
          <w:szCs w:val="32"/>
          <w:lang w:val="en-US" w:eastAsia="zh-CN"/>
        </w:rPr>
      </w:pPr>
      <w:r>
        <w:rPr>
          <w:rFonts w:ascii="Times New Roman" w:hAnsi="Times New Roman" w:eastAsia="仿宋_GB2312" w:cs="Times New Roman"/>
          <w:b/>
          <w:bCs/>
          <w:sz w:val="32"/>
          <w:szCs w:val="32"/>
        </w:rPr>
        <w:t>1.</w:t>
      </w:r>
      <w:r>
        <w:rPr>
          <w:rFonts w:hint="eastAsia" w:ascii="仿宋_GB2312" w:hAnsi="仿宋_GB2312" w:eastAsia="仿宋_GB2312" w:cs="仿宋_GB2312"/>
          <w:b/>
          <w:bCs/>
          <w:spacing w:val="0"/>
          <w:sz w:val="32"/>
          <w:szCs w:val="32"/>
          <w:lang w:val="en-US" w:eastAsia="zh-CN"/>
        </w:rPr>
        <w:t>做好重污染天气应急措施协调工作。</w:t>
      </w:r>
      <w:r>
        <w:rPr>
          <w:rFonts w:hint="eastAsia" w:ascii="仿宋_GB2312" w:hAnsi="仿宋_GB2312" w:eastAsia="仿宋_GB2312" w:cs="仿宋_GB2312"/>
          <w:b w:val="0"/>
          <w:bCs w:val="0"/>
          <w:spacing w:val="0"/>
          <w:sz w:val="32"/>
          <w:szCs w:val="32"/>
          <w:lang w:val="en-US" w:eastAsia="zh-CN"/>
        </w:rPr>
        <w:t>今年1月18日至19日我区启动了君山区重污染天气橙色预警。我局积极协调农业、科工、交警、电力等相关部门，按要求落实了重污染天气应急措施。</w:t>
      </w:r>
    </w:p>
    <w:p w14:paraId="6D8BA9CC">
      <w:pPr>
        <w:pStyle w:val="2"/>
        <w:ind w:firstLine="643" w:firstLineChars="200"/>
        <w:rPr>
          <w:rFonts w:hint="default"/>
          <w:lang w:val="en-US" w:eastAsia="zh-CN"/>
        </w:rPr>
      </w:pPr>
      <w:r>
        <w:rPr>
          <w:rFonts w:hint="eastAsia" w:ascii="Times New Roman" w:hAnsi="Times New Roman" w:eastAsia="仿宋_GB2312" w:cs="Times New Roman"/>
          <w:b/>
          <w:bCs/>
          <w:sz w:val="32"/>
          <w:szCs w:val="32"/>
          <w:lang w:val="en-US" w:eastAsia="zh-CN"/>
        </w:rPr>
        <w:t>2</w:t>
      </w:r>
      <w:r>
        <w:rPr>
          <w:rFonts w:ascii="Times New Roman" w:hAnsi="Times New Roman" w:eastAsia="仿宋_GB2312" w:cs="Times New Roman"/>
          <w:b/>
          <w:bCs/>
          <w:sz w:val="32"/>
          <w:szCs w:val="32"/>
        </w:rPr>
        <w:t>.</w:t>
      </w:r>
      <w:r>
        <w:rPr>
          <w:rFonts w:hint="eastAsia" w:ascii="仿宋_GB2312" w:hAnsi="仿宋_GB2312" w:eastAsia="仿宋_GB2312" w:cs="仿宋_GB2312"/>
          <w:b/>
          <w:bCs/>
          <w:spacing w:val="0"/>
          <w:sz w:val="32"/>
          <w:szCs w:val="32"/>
          <w:lang w:val="en-US" w:eastAsia="zh-CN"/>
        </w:rPr>
        <w:t>加大大气污染监管力度。</w:t>
      </w:r>
      <w:r>
        <w:rPr>
          <w:rFonts w:hint="eastAsia" w:ascii="仿宋_GB2312" w:hAnsi="仿宋_GB2312" w:eastAsia="仿宋_GB2312" w:cs="仿宋_GB2312"/>
          <w:b w:val="0"/>
          <w:bCs w:val="0"/>
          <w:spacing w:val="0"/>
          <w:sz w:val="32"/>
          <w:szCs w:val="32"/>
          <w:lang w:val="en-US" w:eastAsia="zh-CN"/>
        </w:rPr>
        <w:t>对涉气企业、餐饮和工地的检查力度，共检查300余次，重点区域周边餐饮门店督促改用液化气等清洁能源36家，安装油烟净化器21家；加大了巡查力度，强化对餐饮油烟、夜宵摊点出店经营及露天烧烤的监管，取缔露天烧烤摊点19处；联合市监测中心和君山交警大队开展柴油货车路检路查工作，检查车辆80台，积极开展“禁燃禁烧”工作，出动300余人次。</w:t>
      </w:r>
    </w:p>
    <w:p w14:paraId="2D0AF9C8">
      <w:pPr>
        <w:pStyle w:val="8"/>
        <w:keepNext w:val="0"/>
        <w:keepLines w:val="0"/>
        <w:pageBreakBefore w:val="0"/>
        <w:widowControl w:val="0"/>
        <w:kinsoku/>
        <w:wordWrap/>
        <w:overflowPunct/>
        <w:topLinePunct w:val="0"/>
        <w:autoSpaceDE/>
        <w:autoSpaceDN/>
        <w:bidi w:val="0"/>
        <w:spacing w:line="630" w:lineRule="exact"/>
        <w:ind w:left="0" w:leftChars="0" w:firstLine="321" w:firstLineChars="100"/>
        <w:textAlignment w:val="auto"/>
        <w:rPr>
          <w:rFonts w:ascii="Times New Roman" w:hAnsi="Times New Roman" w:eastAsia="楷体_GB2312" w:cs="Times New Roman"/>
          <w:b/>
          <w:bCs/>
          <w:sz w:val="32"/>
          <w:szCs w:val="32"/>
        </w:rPr>
      </w:pPr>
      <w:r>
        <w:rPr>
          <w:rFonts w:ascii="Times New Roman" w:hAnsi="楷体_GB2312" w:eastAsia="楷体_GB2312" w:cs="Times New Roman"/>
          <w:b/>
          <w:bCs/>
          <w:sz w:val="32"/>
          <w:szCs w:val="32"/>
        </w:rPr>
        <w:t>（四）</w:t>
      </w:r>
      <w:r>
        <w:rPr>
          <w:rFonts w:hint="eastAsia" w:ascii="楷体_GB2312" w:hAnsi="楷体_GB2312" w:eastAsia="楷体_GB2312" w:cs="楷体_GB2312"/>
          <w:b/>
          <w:bCs/>
          <w:spacing w:val="0"/>
          <w:sz w:val="32"/>
          <w:szCs w:val="32"/>
          <w:lang w:val="en-US" w:eastAsia="zh-CN"/>
        </w:rPr>
        <w:t>利剑出鞘，严格开展环境执法。</w:t>
      </w:r>
    </w:p>
    <w:p w14:paraId="3A31C359">
      <w:pPr>
        <w:keepNext w:val="0"/>
        <w:keepLines w:val="0"/>
        <w:pageBreakBefore w:val="0"/>
        <w:widowControl w:val="0"/>
        <w:kinsoku/>
        <w:wordWrap/>
        <w:overflowPunct/>
        <w:topLinePunct w:val="0"/>
        <w:autoSpaceDE/>
        <w:autoSpaceDN/>
        <w:bidi w:val="0"/>
        <w:spacing w:line="630" w:lineRule="exact"/>
        <w:ind w:left="0" w:leftChars="0" w:firstLine="640" w:firstLineChars="200"/>
        <w:textAlignment w:val="auto"/>
        <w:rPr>
          <w:rFonts w:hint="eastAsia" w:ascii="仿宋" w:hAnsi="仿宋" w:eastAsia="仿宋" w:cs="仿宋"/>
          <w:b w:val="0"/>
          <w:bCs w:val="0"/>
          <w:sz w:val="32"/>
          <w:szCs w:val="32"/>
          <w:lang w:val="en-US" w:eastAsia="zh-CN"/>
        </w:rPr>
      </w:pPr>
      <w:r>
        <w:rPr>
          <w:rFonts w:hint="eastAsia" w:ascii="仿宋_GB2312" w:hAnsi="仿宋_GB2312" w:eastAsia="仿宋_GB2312"/>
          <w:sz w:val="32"/>
          <w:szCs w:val="32"/>
          <w:lang w:val="en-US" w:eastAsia="zh-CN"/>
        </w:rPr>
        <w:t>开展“利剑”行动，累计</w:t>
      </w:r>
      <w:r>
        <w:rPr>
          <w:rFonts w:hint="eastAsia" w:ascii="仿宋_GB2312" w:hAnsi="仿宋_GB2312" w:eastAsia="仿宋_GB2312" w:cs="Times New Roman"/>
          <w:kern w:val="2"/>
          <w:sz w:val="32"/>
          <w:szCs w:val="32"/>
          <w:lang w:val="en-US" w:eastAsia="zh-CN" w:bidi="ar-SA"/>
        </w:rPr>
        <w:t>摸底排查各类生态环境风险隐患共计18个，红色风险等级3个，橙色风险等级4个，黄色风险等级10个，覆盖9个类别，全部完成降级，隐患消除率达到100%。累计</w:t>
      </w:r>
      <w:r>
        <w:rPr>
          <w:rFonts w:ascii="仿宋_GB2312" w:hAnsi="仿宋_GB2312" w:eastAsia="仿宋_GB2312" w:cs="仿宋_GB2312"/>
          <w:color w:val="000000"/>
          <w:kern w:val="0"/>
          <w:sz w:val="31"/>
          <w:szCs w:val="31"/>
          <w:lang w:val="en-US" w:eastAsia="zh-CN" w:bidi="ar"/>
        </w:rPr>
        <w:t>出动执法人员</w:t>
      </w:r>
      <w:r>
        <w:rPr>
          <w:rFonts w:hint="eastAsia" w:ascii="仿宋_GB2312" w:hAnsi="仿宋_GB2312" w:eastAsia="仿宋_GB2312" w:cs="仿宋_GB2312"/>
          <w:color w:val="000000"/>
          <w:kern w:val="0"/>
          <w:sz w:val="31"/>
          <w:szCs w:val="31"/>
          <w:lang w:val="en-US" w:eastAsia="zh-CN" w:bidi="ar"/>
        </w:rPr>
        <w:t>657</w:t>
      </w:r>
      <w:r>
        <w:rPr>
          <w:rFonts w:ascii="仿宋_GB2312" w:hAnsi="仿宋_GB2312" w:eastAsia="仿宋_GB2312" w:cs="仿宋_GB2312"/>
          <w:color w:val="000000"/>
          <w:kern w:val="0"/>
          <w:sz w:val="31"/>
          <w:szCs w:val="31"/>
          <w:lang w:val="en-US" w:eastAsia="zh-CN" w:bidi="ar"/>
        </w:rPr>
        <w:t>人次，检查企业</w:t>
      </w:r>
      <w:r>
        <w:rPr>
          <w:rFonts w:hint="eastAsia" w:ascii="仿宋_GB2312" w:hAnsi="仿宋_GB2312" w:eastAsia="仿宋_GB2312" w:cs="仿宋_GB2312"/>
          <w:color w:val="000000"/>
          <w:kern w:val="0"/>
          <w:sz w:val="31"/>
          <w:szCs w:val="31"/>
          <w:lang w:val="en-US" w:eastAsia="zh-CN" w:bidi="ar"/>
        </w:rPr>
        <w:t>219</w:t>
      </w:r>
      <w:r>
        <w:rPr>
          <w:rFonts w:ascii="仿宋_GB2312" w:hAnsi="仿宋_GB2312" w:eastAsia="仿宋_GB2312" w:cs="仿宋_GB2312"/>
          <w:color w:val="000000"/>
          <w:kern w:val="0"/>
          <w:sz w:val="31"/>
          <w:szCs w:val="31"/>
          <w:lang w:val="en-US" w:eastAsia="zh-CN" w:bidi="ar"/>
        </w:rPr>
        <w:t>家次</w:t>
      </w:r>
      <w:r>
        <w:rPr>
          <w:rFonts w:hint="eastAsia" w:ascii="仿宋_GB2312" w:hAnsi="仿宋_GB2312" w:eastAsia="仿宋_GB2312" w:cs="仿宋_GB2312"/>
          <w:color w:val="000000"/>
          <w:kern w:val="0"/>
          <w:sz w:val="31"/>
          <w:szCs w:val="31"/>
          <w:lang w:val="en-US" w:eastAsia="zh-CN" w:bidi="ar"/>
        </w:rPr>
        <w:t>，发现问题80余个，立行立改75个，整改完成共计80余个，</w:t>
      </w:r>
      <w:r>
        <w:rPr>
          <w:rFonts w:hint="eastAsia" w:ascii="仿宋" w:hAnsi="仿宋" w:eastAsia="仿宋" w:cs="仿宋"/>
          <w:sz w:val="32"/>
          <w:szCs w:val="32"/>
          <w:lang w:val="en-US" w:eastAsia="zh-CN"/>
        </w:rPr>
        <w:t>立案调查5起，下达行政处罚决定3起，2起已移送市局，罚款共计23.1万元整，移送拘留案件1起，行政拘留1人，</w:t>
      </w:r>
      <w:r>
        <w:rPr>
          <w:rFonts w:hint="eastAsia" w:ascii="仿宋_GB2312" w:hAnsi="仿宋_GB2312" w:eastAsia="仿宋_GB2312" w:cs="仿宋_GB2312"/>
          <w:spacing w:val="0"/>
          <w:sz w:val="32"/>
          <w:szCs w:val="32"/>
          <w:lang w:val="en-US" w:eastAsia="zh-CN"/>
        </w:rPr>
        <w:t>起到了处罚一人警示一片的教育作用。同时，</w:t>
      </w:r>
      <w:r>
        <w:rPr>
          <w:rFonts w:hint="eastAsia" w:ascii="仿宋" w:hAnsi="仿宋" w:eastAsia="仿宋" w:cs="仿宋"/>
          <w:b w:val="0"/>
          <w:bCs w:val="0"/>
          <w:sz w:val="32"/>
          <w:szCs w:val="32"/>
          <w:lang w:val="en-US" w:eastAsia="zh-CN"/>
        </w:rPr>
        <w:t>我局全年共受理生态环境类信访件57起，“12345”公众热线54起、市长信箱2起、“12369”举报系统3起，同比2021年下降28%，办结率和满意率均为100%。</w:t>
      </w:r>
    </w:p>
    <w:p w14:paraId="7C2285C4">
      <w:pPr>
        <w:keepNext w:val="0"/>
        <w:keepLines w:val="0"/>
        <w:pageBreakBefore w:val="0"/>
        <w:widowControl w:val="0"/>
        <w:numPr>
          <w:ilvl w:val="0"/>
          <w:numId w:val="3"/>
        </w:numPr>
        <w:kinsoku/>
        <w:wordWrap/>
        <w:overflowPunct/>
        <w:topLinePunct w:val="0"/>
        <w:autoSpaceDE/>
        <w:autoSpaceDN/>
        <w:bidi w:val="0"/>
        <w:spacing w:line="630" w:lineRule="exact"/>
        <w:ind w:left="0" w:leftChars="0" w:firstLine="643" w:firstLineChars="200"/>
        <w:textAlignment w:val="auto"/>
        <w:rPr>
          <w:rFonts w:hint="eastAsia" w:ascii="楷体_GB2312" w:hAnsi="楷体_GB2312" w:eastAsia="楷体_GB2312" w:cs="楷体_GB2312"/>
          <w:b/>
          <w:bCs/>
          <w:spacing w:val="0"/>
          <w:kern w:val="2"/>
          <w:sz w:val="32"/>
          <w:szCs w:val="32"/>
          <w:lang w:val="en-US" w:eastAsia="zh-CN" w:bidi="ar-SA"/>
        </w:rPr>
      </w:pPr>
      <w:r>
        <w:rPr>
          <w:rFonts w:hint="eastAsia" w:ascii="楷体_GB2312" w:hAnsi="楷体_GB2312" w:eastAsia="楷体_GB2312" w:cs="楷体_GB2312"/>
          <w:b/>
          <w:bCs/>
          <w:spacing w:val="0"/>
          <w:kern w:val="2"/>
          <w:sz w:val="32"/>
          <w:szCs w:val="32"/>
          <w:lang w:val="en-US" w:eastAsia="zh-CN" w:bidi="ar-SA"/>
        </w:rPr>
        <w:t>党建引领，清廉环保和法制宣教有声有色。</w:t>
      </w:r>
    </w:p>
    <w:p w14:paraId="52DB674F">
      <w:pPr>
        <w:keepNext w:val="0"/>
        <w:keepLines w:val="0"/>
        <w:pageBreakBefore w:val="0"/>
        <w:widowControl w:val="0"/>
        <w:numPr>
          <w:ilvl w:val="0"/>
          <w:numId w:val="0"/>
        </w:numPr>
        <w:kinsoku/>
        <w:wordWrap/>
        <w:overflowPunct/>
        <w:topLinePunct w:val="0"/>
        <w:autoSpaceDE/>
        <w:autoSpaceDN/>
        <w:bidi w:val="0"/>
        <w:spacing w:line="63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b/>
          <w:color w:val="000000" w:themeColor="text1"/>
          <w:sz w:val="32"/>
          <w:szCs w:val="32"/>
          <w:lang w:eastAsia="zh-CN"/>
          <w14:textFill>
            <w14:solidFill>
              <w14:schemeClr w14:val="tx1"/>
            </w14:solidFill>
          </w14:textFill>
        </w:rPr>
        <w:t>推进机关党风廉政建设。</w:t>
      </w:r>
      <w:r>
        <w:rPr>
          <w:rFonts w:hint="eastAsia" w:ascii="华文仿宋" w:hAnsi="华文仿宋" w:eastAsia="华文仿宋" w:cs="华文仿宋"/>
          <w:sz w:val="32"/>
          <w:szCs w:val="32"/>
          <w:lang w:val="en-US" w:eastAsia="zh-CN"/>
        </w:rPr>
        <w:t>2022年我局以党建为引领，以</w:t>
      </w:r>
      <w:r>
        <w:rPr>
          <w:rFonts w:hint="eastAsia" w:ascii="仿宋_GB2312" w:hAnsi="仿宋_GB2312" w:eastAsia="仿宋_GB2312" w:cs="仿宋_GB2312"/>
          <w:sz w:val="32"/>
          <w:szCs w:val="32"/>
          <w:lang w:val="en-US" w:eastAsia="zh-CN"/>
        </w:rPr>
        <w:t>清廉环保机关建设为抓手，先后开展了系列专项教育学习活动，具体为：3次开展节假日纠治“四风”监督检查、开展国家公职人员打牌赌博和违规吃喝问题专项整治、开展“倡清廉家风、筑廉洁防线”主体学习和违规收送红包礼金专项整治及自查工作等，分局局长许洞明开展“书记讲党课”2次，党风廉政日常谈话20余次。</w:t>
      </w:r>
    </w:p>
    <w:p w14:paraId="3D8C7FD9">
      <w:pPr>
        <w:pStyle w:val="3"/>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color w:val="000000" w:themeColor="text1"/>
          <w:sz w:val="32"/>
          <w:szCs w:val="32"/>
          <w:lang w:val="en-US" w:eastAsia="zh-CN"/>
          <w14:textFill>
            <w14:solidFill>
              <w14:schemeClr w14:val="tx1"/>
            </w14:solidFill>
          </w14:textFill>
        </w:rPr>
        <w:t>2.营造风清气正的良好氛围。</w:t>
      </w:r>
      <w:r>
        <w:rPr>
          <w:rFonts w:hint="eastAsia" w:ascii="仿宋_GB2312" w:hAnsi="仿宋_GB2312" w:eastAsia="仿宋_GB2312" w:cs="仿宋_GB2312"/>
          <w:sz w:val="32"/>
          <w:szCs w:val="32"/>
          <w:lang w:val="en-US" w:eastAsia="zh-CN"/>
        </w:rPr>
        <w:t>组织分局党员干部到团湖清廉教育基地实地参观学习，分局干部积极参与“金秋送廉”书法比赛等，</w:t>
      </w:r>
      <w:r>
        <w:rPr>
          <w:rFonts w:hint="eastAsia" w:ascii="仿宋_GB2312" w:hAnsi="仿宋" w:eastAsia="仿宋_GB2312" w:cs="仿宋_GB2312"/>
          <w:sz w:val="32"/>
          <w:szCs w:val="32"/>
          <w:lang w:val="en-US" w:eastAsia="zh-CN"/>
        </w:rPr>
        <w:t>一系列</w:t>
      </w:r>
      <w:r>
        <w:rPr>
          <w:rFonts w:hint="eastAsia" w:ascii="华文仿宋" w:hAnsi="华文仿宋" w:eastAsia="华文仿宋" w:cs="华文仿宋"/>
          <w:sz w:val="32"/>
          <w:szCs w:val="32"/>
          <w:lang w:val="en-US" w:eastAsia="zh-CN"/>
        </w:rPr>
        <w:t>党风廉政建设活动产生了活力</w:t>
      </w:r>
      <w:r>
        <w:rPr>
          <w:rFonts w:hint="eastAsia" w:ascii="仿宋_GB2312" w:hAnsi="仿宋" w:eastAsia="仿宋_GB2312" w:cs="仿宋_GB2312"/>
          <w:sz w:val="32"/>
          <w:szCs w:val="32"/>
          <w:lang w:val="en-US" w:eastAsia="zh-CN"/>
        </w:rPr>
        <w:t>，使全局干部职工</w:t>
      </w:r>
      <w:r>
        <w:rPr>
          <w:rFonts w:hint="eastAsia" w:ascii="仿宋_GB2312" w:hAnsi="仿宋_GB2312" w:eastAsia="仿宋_GB2312" w:cs="仿宋_GB2312"/>
          <w:sz w:val="32"/>
          <w:szCs w:val="32"/>
          <w:lang w:val="en-US" w:eastAsia="zh-CN"/>
        </w:rPr>
        <w:t>凝聚力更强、清廉意识更浓，君山分局树立了风清气正的工作氛围，全年无一起违纪违规行为发生。</w:t>
      </w:r>
    </w:p>
    <w:p w14:paraId="44AE0374">
      <w:pPr>
        <w:keepNext w:val="0"/>
        <w:keepLines w:val="0"/>
        <w:pageBreakBefore w:val="0"/>
        <w:widowControl w:val="0"/>
        <w:numPr>
          <w:ilvl w:val="0"/>
          <w:numId w:val="0"/>
        </w:numPr>
        <w:kinsoku/>
        <w:wordWrap/>
        <w:overflowPunct/>
        <w:topLinePunct w:val="0"/>
        <w:autoSpaceDE/>
        <w:autoSpaceDN/>
        <w:bidi w:val="0"/>
        <w:spacing w:line="630" w:lineRule="exact"/>
        <w:ind w:firstLine="643" w:firstLineChars="200"/>
        <w:textAlignment w:val="auto"/>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b/>
          <w:color w:val="000000" w:themeColor="text1"/>
          <w:sz w:val="32"/>
          <w:szCs w:val="32"/>
          <w:lang w:val="en-US" w:eastAsia="zh-CN"/>
          <w14:textFill>
            <w14:solidFill>
              <w14:schemeClr w14:val="tx1"/>
            </w14:solidFill>
          </w14:textFill>
        </w:rPr>
        <w:t>3.大力宣传生态环境保护思想</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仿宋" w:hAnsi="仿宋" w:eastAsia="仿宋" w:cs="仿宋"/>
          <w:kern w:val="2"/>
          <w:sz w:val="32"/>
          <w:szCs w:val="32"/>
          <w:lang w:val="en-US" w:eastAsia="zh-CN" w:bidi="ar-SA"/>
        </w:rPr>
        <w:t>我局承办的君山区</w:t>
      </w:r>
      <w:r>
        <w:rPr>
          <w:rFonts w:hint="eastAsia" w:eastAsia="仿宋" w:cs="仿宋"/>
          <w:kern w:val="2"/>
          <w:sz w:val="32"/>
          <w:szCs w:val="32"/>
          <w:lang w:val="en-US" w:eastAsia="zh-CN" w:bidi="ar-SA"/>
        </w:rPr>
        <w:t>6·5</w:t>
      </w:r>
      <w:r>
        <w:rPr>
          <w:rFonts w:hint="eastAsia" w:ascii="仿宋" w:hAnsi="仿宋" w:eastAsia="仿宋" w:cs="仿宋"/>
          <w:kern w:val="2"/>
          <w:sz w:val="32"/>
          <w:szCs w:val="32"/>
          <w:lang w:val="en-US" w:eastAsia="zh-CN" w:bidi="ar-SA"/>
        </w:rPr>
        <w:t>世界环境日主题活</w:t>
      </w:r>
      <w:r>
        <w:rPr>
          <w:rFonts w:hint="eastAsia" w:eastAsia="仿宋" w:cs="仿宋"/>
          <w:kern w:val="2"/>
          <w:sz w:val="32"/>
          <w:szCs w:val="32"/>
          <w:lang w:val="en-US" w:eastAsia="zh-CN" w:bidi="ar-SA"/>
        </w:rPr>
        <w:t>动，</w:t>
      </w:r>
      <w:r>
        <w:rPr>
          <w:rFonts w:hint="eastAsia" w:ascii="仿宋" w:hAnsi="仿宋" w:eastAsia="仿宋" w:cs="仿宋"/>
          <w:kern w:val="2"/>
          <w:sz w:val="32"/>
          <w:szCs w:val="32"/>
          <w:lang w:val="en-US" w:eastAsia="zh-CN" w:bidi="ar-SA"/>
        </w:rPr>
        <w:t>现场发放各类宣传资料1000余份，</w:t>
      </w:r>
      <w:r>
        <w:rPr>
          <w:rFonts w:hint="eastAsia" w:eastAsia="仿宋" w:cs="仿宋"/>
          <w:kern w:val="2"/>
          <w:sz w:val="32"/>
          <w:szCs w:val="32"/>
          <w:lang w:val="en-US" w:eastAsia="zh-CN" w:bidi="ar-SA"/>
        </w:rPr>
        <w:t>各界代表</w:t>
      </w:r>
      <w:r>
        <w:rPr>
          <w:rFonts w:hint="eastAsia" w:ascii="仿宋" w:hAnsi="仿宋" w:eastAsia="仿宋" w:cs="仿宋"/>
          <w:kern w:val="2"/>
          <w:sz w:val="32"/>
          <w:szCs w:val="32"/>
          <w:lang w:val="en-US" w:eastAsia="zh-CN" w:bidi="ar-SA"/>
        </w:rPr>
        <w:t>200余人共襄盛会</w:t>
      </w:r>
      <w:r>
        <w:rPr>
          <w:rFonts w:hint="eastAsia" w:eastAsia="仿宋" w:cs="仿宋"/>
          <w:kern w:val="2"/>
          <w:sz w:val="32"/>
          <w:szCs w:val="32"/>
          <w:lang w:val="en-US" w:eastAsia="zh-CN" w:bidi="ar-SA"/>
        </w:rPr>
        <w:t>。</w:t>
      </w:r>
      <w:r>
        <w:rPr>
          <w:rFonts w:hint="eastAsia" w:ascii="仿宋" w:hAnsi="仿宋" w:eastAsia="仿宋" w:cs="仿宋"/>
          <w:kern w:val="2"/>
          <w:sz w:val="32"/>
          <w:szCs w:val="32"/>
          <w:lang w:val="en-US" w:eastAsia="zh-CN" w:bidi="ar-SA"/>
        </w:rPr>
        <w:t>开展了“守护好一江碧水”</w:t>
      </w:r>
      <w:r>
        <w:rPr>
          <w:rFonts w:hint="eastAsia" w:eastAsia="仿宋" w:cs="仿宋"/>
          <w:kern w:val="2"/>
          <w:sz w:val="32"/>
          <w:szCs w:val="32"/>
          <w:lang w:val="en-US" w:eastAsia="zh-CN" w:bidi="ar-SA"/>
        </w:rPr>
        <w:t>、</w:t>
      </w:r>
      <w:r>
        <w:rPr>
          <w:rFonts w:hint="eastAsia" w:ascii="仿宋" w:hAnsi="仿宋" w:eastAsia="仿宋" w:cs="仿宋"/>
          <w:kern w:val="2"/>
          <w:sz w:val="32"/>
          <w:szCs w:val="32"/>
          <w:lang w:val="en-US" w:eastAsia="zh-CN" w:bidi="ar-SA"/>
        </w:rPr>
        <w:t>《长江保护法》、《湿地保护法》等10多次</w:t>
      </w:r>
      <w:r>
        <w:rPr>
          <w:rFonts w:hint="eastAsia" w:eastAsia="仿宋" w:cs="仿宋"/>
          <w:kern w:val="2"/>
          <w:sz w:val="32"/>
          <w:szCs w:val="32"/>
          <w:lang w:val="en-US" w:eastAsia="zh-CN" w:bidi="ar-SA"/>
        </w:rPr>
        <w:t>主题</w:t>
      </w:r>
      <w:r>
        <w:rPr>
          <w:rFonts w:hint="eastAsia" w:ascii="仿宋" w:hAnsi="仿宋" w:eastAsia="仿宋" w:cs="仿宋"/>
          <w:kern w:val="2"/>
          <w:sz w:val="32"/>
          <w:szCs w:val="32"/>
          <w:lang w:val="en-US" w:eastAsia="zh-CN" w:bidi="ar-SA"/>
        </w:rPr>
        <w:t>宣教工作。</w:t>
      </w:r>
      <w:r>
        <w:rPr>
          <w:rFonts w:hint="eastAsia" w:eastAsia="仿宋" w:cs="仿宋"/>
          <w:kern w:val="2"/>
          <w:sz w:val="32"/>
          <w:szCs w:val="32"/>
          <w:lang w:val="en-US" w:eastAsia="zh-CN" w:bidi="ar-SA"/>
        </w:rPr>
        <w:t>推进环境保护主题活动</w:t>
      </w:r>
      <w:r>
        <w:rPr>
          <w:rFonts w:hint="eastAsia" w:ascii="仿宋" w:hAnsi="仿宋" w:eastAsia="仿宋" w:cs="仿宋"/>
          <w:kern w:val="2"/>
          <w:sz w:val="32"/>
          <w:szCs w:val="32"/>
          <w:lang w:val="en-US" w:eastAsia="zh-CN" w:bidi="ar-SA"/>
        </w:rPr>
        <w:t>进单位、进企业、进学校、进社区</w:t>
      </w:r>
      <w:r>
        <w:rPr>
          <w:rFonts w:hint="eastAsia" w:eastAsia="仿宋" w:cs="仿宋"/>
          <w:kern w:val="2"/>
          <w:sz w:val="32"/>
          <w:szCs w:val="32"/>
          <w:lang w:val="en-US" w:eastAsia="zh-CN" w:bidi="ar-SA"/>
        </w:rPr>
        <w:t>，</w:t>
      </w:r>
      <w:r>
        <w:rPr>
          <w:rFonts w:hint="eastAsia" w:ascii="仿宋" w:hAnsi="仿宋" w:eastAsia="仿宋" w:cs="仿宋"/>
          <w:sz w:val="32"/>
          <w:szCs w:val="32"/>
          <w:lang w:eastAsia="zh-CN"/>
        </w:rPr>
        <w:t>在君山营造</w:t>
      </w:r>
      <w:r>
        <w:rPr>
          <w:rFonts w:hint="eastAsia" w:eastAsia="仿宋" w:cs="仿宋"/>
          <w:sz w:val="32"/>
          <w:szCs w:val="32"/>
          <w:lang w:eastAsia="zh-CN"/>
        </w:rPr>
        <w:t>了</w:t>
      </w:r>
      <w:r>
        <w:rPr>
          <w:rFonts w:hint="eastAsia" w:ascii="仿宋" w:hAnsi="仿宋" w:eastAsia="仿宋" w:cs="仿宋"/>
          <w:sz w:val="32"/>
          <w:szCs w:val="32"/>
          <w:lang w:eastAsia="zh-CN"/>
        </w:rPr>
        <w:t>一个全民参与生态环境保护工作的浓厚氛围。</w:t>
      </w:r>
    </w:p>
    <w:p w14:paraId="43415742">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p>
    <w:p w14:paraId="58A3C38A">
      <w:pPr>
        <w:pStyle w:val="7"/>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七、存在的问题及原因分析</w:t>
      </w:r>
    </w:p>
    <w:p w14:paraId="5AB77B36">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根据预算一体化的要求，年初预算下达指标到达末级科目，年中不予调整，导致部分支出科目余额不足，使得付款效率大大降低。</w:t>
      </w:r>
    </w:p>
    <w:p w14:paraId="2D5BA582">
      <w:pPr>
        <w:keepNext w:val="0"/>
        <w:keepLines w:val="0"/>
        <w:pageBreakBefore w:val="0"/>
        <w:widowControl/>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下一步改进措施</w:t>
      </w:r>
    </w:p>
    <w:p w14:paraId="7B05A807">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进一步提高预算编制的准确性和科学性，提高工作效率。</w:t>
      </w:r>
    </w:p>
    <w:p w14:paraId="40A3C152">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九、部门整体支出绩效自评结果拟应用和公开情况</w:t>
      </w:r>
    </w:p>
    <w:p w14:paraId="5682F73C">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lang w:eastAsia="zh-CN"/>
        </w:rPr>
        <w:t>绩效自评结果为良好等级。下一步将根据财政检查绩效自评发现的问题等进行改善，并按政务公开的相关规定，及时将部门整体支出及项目绩效自评报告，通过门户网站向社会公开。</w:t>
      </w:r>
    </w:p>
    <w:p w14:paraId="49160314">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19816CA1">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34E3AF7A">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4FD1FBDE">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2778AD48">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5BE57D0D">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010435C2">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00D46919">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3FEE137C">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01910CB9">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14:paraId="7E63C929">
      <w:pPr>
        <w:spacing w:before="120" w:beforeLines="50" w:after="120" w:afterLines="50"/>
        <w:jc w:val="center"/>
        <w:rPr>
          <w:rFonts w:hint="eastAsia"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z w:val="36"/>
          <w:szCs w:val="36"/>
        </w:rPr>
        <w:t>部门整体支出</w:t>
      </w:r>
      <w:r>
        <w:rPr>
          <w:rFonts w:hint="eastAsia" w:ascii="方正小标宋简体" w:hAnsi="方正小标宋简体" w:eastAsia="方正小标宋简体" w:cs="方正小标宋简体"/>
          <w:spacing w:val="-6"/>
          <w:sz w:val="36"/>
          <w:szCs w:val="36"/>
        </w:rPr>
        <w:t>绩效自评工作考核评分表</w:t>
      </w:r>
    </w:p>
    <w:tbl>
      <w:tblPr>
        <w:tblStyle w:val="5"/>
        <w:tblW w:w="9941" w:type="dxa"/>
        <w:jc w:val="center"/>
        <w:tblLayout w:type="fixed"/>
        <w:tblCellMar>
          <w:top w:w="0" w:type="dxa"/>
          <w:left w:w="108" w:type="dxa"/>
          <w:bottom w:w="0" w:type="dxa"/>
          <w:right w:w="108" w:type="dxa"/>
        </w:tblCellMar>
      </w:tblPr>
      <w:tblGrid>
        <w:gridCol w:w="745"/>
        <w:gridCol w:w="1174"/>
        <w:gridCol w:w="5000"/>
        <w:gridCol w:w="3022"/>
      </w:tblGrid>
      <w:tr w14:paraId="5B9D043F">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14:paraId="44C35683">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一级指标</w:t>
            </w:r>
          </w:p>
        </w:tc>
        <w:tc>
          <w:tcPr>
            <w:tcW w:w="1174" w:type="dxa"/>
            <w:tcBorders>
              <w:top w:val="single" w:color="auto" w:sz="4" w:space="0"/>
              <w:left w:val="nil"/>
              <w:bottom w:val="single" w:color="auto" w:sz="4" w:space="0"/>
              <w:right w:val="single" w:color="auto" w:sz="4" w:space="0"/>
            </w:tcBorders>
            <w:noWrap w:val="0"/>
            <w:vAlign w:val="center"/>
          </w:tcPr>
          <w:p w14:paraId="507E9D32">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二级指标</w:t>
            </w:r>
          </w:p>
        </w:tc>
        <w:tc>
          <w:tcPr>
            <w:tcW w:w="5000" w:type="dxa"/>
            <w:tcBorders>
              <w:top w:val="single" w:color="auto" w:sz="4" w:space="0"/>
              <w:left w:val="nil"/>
              <w:bottom w:val="single" w:color="auto" w:sz="4" w:space="0"/>
              <w:right w:val="single" w:color="auto" w:sz="4" w:space="0"/>
            </w:tcBorders>
            <w:noWrap w:val="0"/>
            <w:vAlign w:val="center"/>
          </w:tcPr>
          <w:p w14:paraId="12024B0C">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评分标准</w:t>
            </w:r>
          </w:p>
        </w:tc>
        <w:tc>
          <w:tcPr>
            <w:tcW w:w="3022" w:type="dxa"/>
            <w:tcBorders>
              <w:top w:val="single" w:color="auto" w:sz="4" w:space="0"/>
              <w:left w:val="nil"/>
              <w:bottom w:val="single" w:color="auto" w:sz="4" w:space="0"/>
              <w:right w:val="single" w:color="auto" w:sz="4" w:space="0"/>
            </w:tcBorders>
            <w:noWrap w:val="0"/>
            <w:vAlign w:val="center"/>
          </w:tcPr>
          <w:p w14:paraId="4B7EA751">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所需佐证材料</w:t>
            </w:r>
          </w:p>
        </w:tc>
      </w:tr>
      <w:tr w14:paraId="5F7F6BD1">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14:paraId="59E8E82B">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布置工作</w:t>
            </w:r>
          </w:p>
          <w:p w14:paraId="2888A000">
            <w:pPr>
              <w:spacing w:line="300" w:lineRule="exact"/>
              <w:jc w:val="center"/>
              <w:rPr>
                <w:rFonts w:hint="default" w:ascii="Times New Roman" w:hAnsi="Times New Roman" w:eastAsia="仿宋_GB2312" w:cs="Times New Roman"/>
                <w:sz w:val="20"/>
                <w:szCs w:val="20"/>
              </w:rPr>
            </w:pPr>
          </w:p>
          <w:p w14:paraId="5A610078">
            <w:pPr>
              <w:spacing w:line="30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1174" w:type="dxa"/>
            <w:tcBorders>
              <w:top w:val="single" w:color="auto" w:sz="4" w:space="0"/>
              <w:left w:val="nil"/>
              <w:right w:val="single" w:color="auto" w:sz="4" w:space="0"/>
            </w:tcBorders>
            <w:noWrap w:val="0"/>
            <w:vAlign w:val="center"/>
          </w:tcPr>
          <w:p w14:paraId="47A16A12">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自评通知</w:t>
            </w:r>
          </w:p>
          <w:p w14:paraId="7B8599C0">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（8分）</w:t>
            </w:r>
          </w:p>
        </w:tc>
        <w:tc>
          <w:tcPr>
            <w:tcW w:w="5000" w:type="dxa"/>
            <w:tcBorders>
              <w:top w:val="single" w:color="auto" w:sz="4" w:space="0"/>
              <w:left w:val="nil"/>
              <w:bottom w:val="single" w:color="auto" w:sz="4" w:space="0"/>
              <w:right w:val="single" w:color="auto" w:sz="4" w:space="0"/>
            </w:tcBorders>
            <w:noWrap w:val="0"/>
            <w:vAlign w:val="center"/>
          </w:tcPr>
          <w:p w14:paraId="18721EC5">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印发绩效自评通知的得2分，否则不得分。</w:t>
            </w:r>
          </w:p>
          <w:p w14:paraId="347036C0">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14:paraId="4DF5FBE1">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绩效自评通知盖章的电子版</w:t>
            </w:r>
          </w:p>
        </w:tc>
      </w:tr>
      <w:tr w14:paraId="66E01806">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14:paraId="13B8CA7C">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14:paraId="42D637CA">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工作小组</w:t>
            </w:r>
          </w:p>
          <w:p w14:paraId="74A0EB0C">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（2分）</w:t>
            </w:r>
          </w:p>
        </w:tc>
        <w:tc>
          <w:tcPr>
            <w:tcW w:w="5000" w:type="dxa"/>
            <w:tcBorders>
              <w:top w:val="single" w:color="auto" w:sz="4" w:space="0"/>
              <w:left w:val="nil"/>
              <w:bottom w:val="single" w:color="auto" w:sz="4" w:space="0"/>
              <w:right w:val="single" w:color="auto" w:sz="4" w:space="0"/>
            </w:tcBorders>
            <w:noWrap w:val="0"/>
            <w:vAlign w:val="center"/>
          </w:tcPr>
          <w:p w14:paraId="2BF81D77">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14:paraId="66EC119D">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本部门、本单位预算绩效管理领导小组</w:t>
            </w:r>
            <w:r>
              <w:rPr>
                <w:rFonts w:hint="default" w:ascii="Times New Roman" w:hAnsi="Times New Roman" w:eastAsia="仿宋_GB2312" w:cs="Times New Roman"/>
                <w:spacing w:val="0"/>
                <w:sz w:val="20"/>
                <w:szCs w:val="20"/>
                <w:lang w:val="en-US" w:eastAsia="zh-CN"/>
              </w:rPr>
              <w:t>/</w:t>
            </w:r>
            <w:r>
              <w:rPr>
                <w:rFonts w:hint="default" w:ascii="Times New Roman" w:hAnsi="Times New Roman" w:eastAsia="仿宋_GB2312" w:cs="Times New Roman"/>
                <w:sz w:val="20"/>
                <w:szCs w:val="20"/>
              </w:rPr>
              <w:t>绩效评价工作小组</w:t>
            </w:r>
            <w:r>
              <w:rPr>
                <w:rFonts w:hint="default" w:ascii="Times New Roman" w:hAnsi="Times New Roman" w:eastAsia="仿宋_GB2312" w:cs="Times New Roman"/>
                <w:sz w:val="20"/>
                <w:szCs w:val="20"/>
                <w:lang w:eastAsia="zh-CN"/>
              </w:rPr>
              <w:t>有关</w:t>
            </w:r>
            <w:r>
              <w:rPr>
                <w:rFonts w:hint="default" w:ascii="Times New Roman" w:hAnsi="Times New Roman" w:eastAsia="仿宋_GB2312" w:cs="Times New Roman"/>
                <w:spacing w:val="0"/>
                <w:sz w:val="20"/>
                <w:szCs w:val="20"/>
              </w:rPr>
              <w:t>文件</w:t>
            </w:r>
            <w:r>
              <w:rPr>
                <w:rFonts w:hint="default" w:ascii="Times New Roman" w:hAnsi="Times New Roman" w:eastAsia="仿宋_GB2312" w:cs="Times New Roman"/>
                <w:sz w:val="20"/>
                <w:szCs w:val="20"/>
              </w:rPr>
              <w:t>盖章的电子版</w:t>
            </w:r>
          </w:p>
        </w:tc>
      </w:tr>
      <w:tr w14:paraId="38DAFF78">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14:paraId="04A5F9C4">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实施评价</w:t>
            </w:r>
          </w:p>
          <w:p w14:paraId="101D5BEF">
            <w:pPr>
              <w:spacing w:line="300" w:lineRule="exact"/>
              <w:jc w:val="center"/>
              <w:rPr>
                <w:rFonts w:hint="default" w:ascii="Times New Roman" w:hAnsi="Times New Roman" w:eastAsia="仿宋_GB2312" w:cs="Times New Roman"/>
                <w:sz w:val="20"/>
                <w:szCs w:val="20"/>
              </w:rPr>
            </w:pPr>
          </w:p>
          <w:p w14:paraId="3E173E34">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1174" w:type="dxa"/>
            <w:tcBorders>
              <w:top w:val="single" w:color="auto" w:sz="4" w:space="0"/>
              <w:left w:val="nil"/>
              <w:bottom w:val="single" w:color="auto" w:sz="4" w:space="0"/>
              <w:right w:val="single" w:color="auto" w:sz="4" w:space="0"/>
            </w:tcBorders>
            <w:noWrap w:val="0"/>
            <w:vAlign w:val="center"/>
          </w:tcPr>
          <w:p w14:paraId="300FD0BA">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单位自查</w:t>
            </w:r>
          </w:p>
          <w:p w14:paraId="367D8DCD">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5000" w:type="dxa"/>
            <w:tcBorders>
              <w:top w:val="single" w:color="auto" w:sz="4" w:space="0"/>
              <w:left w:val="nil"/>
              <w:bottom w:val="single" w:color="auto" w:sz="4" w:space="0"/>
              <w:right w:val="single" w:color="auto" w:sz="4" w:space="0"/>
            </w:tcBorders>
            <w:noWrap w:val="0"/>
            <w:vAlign w:val="center"/>
          </w:tcPr>
          <w:p w14:paraId="7143067B">
            <w:pPr>
              <w:spacing w:line="300" w:lineRule="exact"/>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eastAsia="zh-CN"/>
              </w:rPr>
              <w:t>市级</w:t>
            </w:r>
            <w:r>
              <w:rPr>
                <w:rFonts w:hint="default" w:ascii="Times New Roman" w:hAnsi="Times New Roman" w:eastAsia="仿宋_GB2312" w:cs="Times New Roman"/>
                <w:sz w:val="20"/>
                <w:szCs w:val="20"/>
              </w:rPr>
              <w:t>预算部门本级和所属单位都要开展绩效自查，转移支付项目单位都要开展绩效自查，</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14:paraId="093A0B67">
            <w:pPr>
              <w:numPr>
                <w:ilvl w:val="0"/>
                <w:numId w:val="5"/>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转移支付项目单位名称和资</w:t>
            </w:r>
            <w:r>
              <w:rPr>
                <w:rFonts w:hint="eastAsia" w:ascii="Times New Roman" w:hAnsi="Times New Roman" w:eastAsia="仿宋_GB2312" w:cs="Times New Roman"/>
                <w:sz w:val="20"/>
                <w:szCs w:val="20"/>
                <w:lang w:val="en-US" w:eastAsia="zh-CN"/>
              </w:rPr>
              <w:t xml:space="preserve"> </w:t>
            </w:r>
            <w:r>
              <w:rPr>
                <w:rFonts w:hint="default" w:ascii="Times New Roman" w:hAnsi="Times New Roman" w:eastAsia="仿宋_GB2312" w:cs="Times New Roman"/>
                <w:sz w:val="20"/>
                <w:szCs w:val="20"/>
              </w:rPr>
              <w:t>金情况清单</w:t>
            </w:r>
          </w:p>
          <w:p w14:paraId="6F8CD6EC">
            <w:pPr>
              <w:numPr>
                <w:ilvl w:val="0"/>
                <w:numId w:val="5"/>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有转移支付资金的各</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主管部门汇总情况的盖章PDF版　</w:t>
            </w:r>
          </w:p>
        </w:tc>
      </w:tr>
      <w:tr w14:paraId="5B21E3BB">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14:paraId="17215EE5">
            <w:pPr>
              <w:spacing w:line="300" w:lineRule="exact"/>
              <w:rPr>
                <w:rFonts w:hint="default" w:ascii="Times New Roman" w:hAnsi="Times New Roman" w:eastAsia="仿宋_GB2312" w:cs="Times New Roman"/>
                <w:sz w:val="20"/>
                <w:szCs w:val="20"/>
              </w:rPr>
            </w:pPr>
          </w:p>
        </w:tc>
        <w:tc>
          <w:tcPr>
            <w:tcW w:w="1174" w:type="dxa"/>
            <w:tcBorders>
              <w:top w:val="nil"/>
              <w:left w:val="nil"/>
              <w:bottom w:val="single" w:color="auto" w:sz="4" w:space="0"/>
              <w:right w:val="single" w:color="auto" w:sz="4" w:space="0"/>
            </w:tcBorders>
            <w:noWrap w:val="0"/>
            <w:vAlign w:val="center"/>
          </w:tcPr>
          <w:p w14:paraId="79687E99">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提交报告</w:t>
            </w:r>
          </w:p>
          <w:p w14:paraId="2AF9FA54">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8022" w:type="dxa"/>
            <w:gridSpan w:val="2"/>
            <w:tcBorders>
              <w:top w:val="nil"/>
              <w:left w:val="nil"/>
              <w:bottom w:val="single" w:color="auto" w:sz="4" w:space="0"/>
              <w:right w:val="single" w:color="auto" w:sz="4" w:space="0"/>
            </w:tcBorders>
            <w:noWrap w:val="0"/>
            <w:vAlign w:val="center"/>
          </w:tcPr>
          <w:p w14:paraId="12937671">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按时向</w:t>
            </w:r>
            <w:r>
              <w:rPr>
                <w:rFonts w:hint="eastAsia" w:ascii="Times New Roman" w:hAnsi="Times New Roman" w:eastAsia="仿宋_GB2312" w:cs="Times New Roman"/>
                <w:sz w:val="20"/>
                <w:szCs w:val="20"/>
                <w:lang w:eastAsia="zh-CN"/>
              </w:rPr>
              <w:t>市财政局</w:t>
            </w:r>
            <w:r>
              <w:rPr>
                <w:rFonts w:hint="default" w:ascii="Times New Roman" w:hAnsi="Times New Roman" w:eastAsia="仿宋_GB2312" w:cs="Times New Roman"/>
                <w:sz w:val="20"/>
                <w:szCs w:val="20"/>
              </w:rPr>
              <w:t>报送报告的得10分；每推迟一个工作日报送报告的扣1分，最多扣10分。</w:t>
            </w:r>
          </w:p>
        </w:tc>
      </w:tr>
      <w:tr w14:paraId="7B34D56F">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14:paraId="0CEF24AE">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自评报告</w:t>
            </w:r>
          </w:p>
          <w:p w14:paraId="3A7ABD5E">
            <w:pPr>
              <w:spacing w:line="300" w:lineRule="exact"/>
              <w:jc w:val="center"/>
              <w:rPr>
                <w:rFonts w:hint="default" w:ascii="Times New Roman" w:hAnsi="Times New Roman" w:eastAsia="仿宋_GB2312" w:cs="Times New Roman"/>
                <w:sz w:val="20"/>
                <w:szCs w:val="20"/>
              </w:rPr>
            </w:pPr>
          </w:p>
          <w:p w14:paraId="7CB058CA">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70分</w:t>
            </w:r>
          </w:p>
        </w:tc>
        <w:tc>
          <w:tcPr>
            <w:tcW w:w="1174" w:type="dxa"/>
            <w:tcBorders>
              <w:top w:val="single" w:color="auto" w:sz="4" w:space="0"/>
              <w:left w:val="nil"/>
              <w:bottom w:val="single" w:color="auto" w:sz="4" w:space="0"/>
              <w:right w:val="single" w:color="auto" w:sz="4" w:space="0"/>
            </w:tcBorders>
            <w:noWrap w:val="0"/>
            <w:vAlign w:val="center"/>
          </w:tcPr>
          <w:p w14:paraId="2448F968">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完整性</w:t>
            </w:r>
          </w:p>
          <w:p w14:paraId="7E6AB6E3">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14:paraId="4E35CACF">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绩效自评报告正文部分内容齐全的，得8分；否则每少一个部分扣2分，最多扣8分。</w:t>
            </w:r>
          </w:p>
          <w:p w14:paraId="0BE6F183">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绩效自评报告附件部分内容齐全的，得7分；否则每少一个部分扣2分，最多扣7分。</w:t>
            </w:r>
          </w:p>
        </w:tc>
      </w:tr>
      <w:tr w14:paraId="47136043">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14:paraId="7F35FEC2">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right w:val="single" w:color="auto" w:sz="4" w:space="0"/>
            </w:tcBorders>
            <w:noWrap w:val="0"/>
            <w:vAlign w:val="center"/>
          </w:tcPr>
          <w:p w14:paraId="6EDB3A0D">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w:t>
            </w:r>
          </w:p>
          <w:p w14:paraId="108E1093">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自评表</w:t>
            </w:r>
          </w:p>
          <w:p w14:paraId="6D9EFE1A">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14:paraId="14F56BCD">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lang w:eastAsia="zh-CN"/>
              </w:rPr>
              <w:t>岳阳市市级</w:t>
            </w:r>
            <w:r>
              <w:rPr>
                <w:rFonts w:hint="default" w:ascii="Times New Roman" w:hAnsi="Times New Roman" w:eastAsia="仿宋_GB2312" w:cs="Times New Roman"/>
                <w:sz w:val="20"/>
                <w:szCs w:val="20"/>
              </w:rPr>
              <w:t>预算部门绩效自评操作规程》要求的，得5分，否则按比例扣除相应的分数。</w:t>
            </w:r>
          </w:p>
          <w:p w14:paraId="186C9694">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部门整体支出和项目支出绩效指标全部细化到三级指标的，得5分；部分细化的，酌情扣分；没有细化的，不得分。</w:t>
            </w:r>
          </w:p>
          <w:p w14:paraId="61B4610A">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3</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14:paraId="45906E8F">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14:paraId="530A397C">
            <w:pPr>
              <w:spacing w:line="300" w:lineRule="exact"/>
              <w:jc w:val="center"/>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14:paraId="452663D6">
            <w:pPr>
              <w:jc w:val="center"/>
              <w:rPr>
                <w:rFonts w:hint="default" w:ascii="Times New Roman" w:hAnsi="Times New Roman" w:cs="Times New Roman"/>
              </w:rPr>
            </w:pPr>
          </w:p>
          <w:p w14:paraId="335F7827">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反映问</w:t>
            </w:r>
          </w:p>
          <w:p w14:paraId="49007610">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题情况</w:t>
            </w:r>
          </w:p>
          <w:p w14:paraId="2FF4967A">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14:paraId="42AF115B">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14:paraId="2003EEBC">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14:paraId="78D01FCA">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14:paraId="1943044A">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建议情况</w:t>
            </w:r>
          </w:p>
          <w:p w14:paraId="476E5913">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14:paraId="3B5CA65A">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建议与问题对应且全面的得15分，建议比较全面的得12—14分，建议不全面的得9—11分，建议过于简单的得6—8分，只提出加大资金投入建议的不得分；其他情况酌情扣分。</w:t>
            </w:r>
          </w:p>
        </w:tc>
      </w:tr>
      <w:tr w14:paraId="3FB74BE6">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14:paraId="4107D683">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14:paraId="1AB131E4">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14:paraId="4FEF1283">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bl>
    <w:p w14:paraId="3599E75C"/>
    <w:p w14:paraId="21637490"/>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EE791"/>
    <w:multiLevelType w:val="singleLevel"/>
    <w:tmpl w:val="A26EE791"/>
    <w:lvl w:ilvl="0" w:tentative="0">
      <w:start w:val="5"/>
      <w:numFmt w:val="chineseCounting"/>
      <w:suff w:val="nothing"/>
      <w:lvlText w:val="%1、"/>
      <w:lvlJc w:val="left"/>
      <w:rPr>
        <w:rFonts w:hint="eastAsia"/>
      </w:rPr>
    </w:lvl>
  </w:abstractNum>
  <w:abstractNum w:abstractNumId="1">
    <w:nsid w:val="E47266DA"/>
    <w:multiLevelType w:val="singleLevel"/>
    <w:tmpl w:val="E47266DA"/>
    <w:lvl w:ilvl="0" w:tentative="0">
      <w:start w:val="1"/>
      <w:numFmt w:val="chineseCounting"/>
      <w:suff w:val="nothing"/>
      <w:lvlText w:val="%1、"/>
      <w:lvlJc w:val="left"/>
      <w:rPr>
        <w:rFonts w:hint="eastAsia"/>
      </w:rPr>
    </w:lvl>
  </w:abstractNum>
  <w:abstractNum w:abstractNumId="2">
    <w:nsid w:val="FF3D7EEC"/>
    <w:multiLevelType w:val="singleLevel"/>
    <w:tmpl w:val="FF3D7EEC"/>
    <w:lvl w:ilvl="0" w:tentative="0">
      <w:start w:val="8"/>
      <w:numFmt w:val="chineseCounting"/>
      <w:suff w:val="nothing"/>
      <w:lvlText w:val="%1、"/>
      <w:lvlJc w:val="left"/>
      <w:rPr>
        <w:rFonts w:hint="eastAsia"/>
      </w:rPr>
    </w:lvl>
  </w:abstractNum>
  <w:abstractNum w:abstractNumId="3">
    <w:nsid w:val="3635236B"/>
    <w:multiLevelType w:val="singleLevel"/>
    <w:tmpl w:val="3635236B"/>
    <w:lvl w:ilvl="0" w:tentative="0">
      <w:start w:val="5"/>
      <w:numFmt w:val="chineseCounting"/>
      <w:suff w:val="nothing"/>
      <w:lvlText w:val="（%1）"/>
      <w:lvlJc w:val="left"/>
      <w:rPr>
        <w:rFonts w:hint="eastAsia"/>
      </w:rPr>
    </w:lvl>
  </w:abstractNum>
  <w:abstractNum w:abstractNumId="4">
    <w:nsid w:val="5DDF8822"/>
    <w:multiLevelType w:val="singleLevel"/>
    <w:tmpl w:val="5DDF8822"/>
    <w:lvl w:ilvl="0" w:tentative="0">
      <w:start w:val="1"/>
      <w:numFmt w:val="decimal"/>
      <w:suff w:val="nothing"/>
      <w:lvlText w:val="%1、"/>
      <w:lvlJc w:val="left"/>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66BB38F8"/>
    <w:rsid w:val="019D115B"/>
    <w:rsid w:val="02070CCA"/>
    <w:rsid w:val="047F4AA3"/>
    <w:rsid w:val="06AA472E"/>
    <w:rsid w:val="0D447276"/>
    <w:rsid w:val="0E464928"/>
    <w:rsid w:val="0EE21B24"/>
    <w:rsid w:val="173B0306"/>
    <w:rsid w:val="179761F4"/>
    <w:rsid w:val="17E72CD8"/>
    <w:rsid w:val="1E4E3AB1"/>
    <w:rsid w:val="26802E98"/>
    <w:rsid w:val="2AC8064F"/>
    <w:rsid w:val="2F803CE6"/>
    <w:rsid w:val="30B34B83"/>
    <w:rsid w:val="32521EC4"/>
    <w:rsid w:val="351F5D4F"/>
    <w:rsid w:val="352951A4"/>
    <w:rsid w:val="361B3B70"/>
    <w:rsid w:val="375A37F5"/>
    <w:rsid w:val="395D576F"/>
    <w:rsid w:val="3A103EB8"/>
    <w:rsid w:val="432333B7"/>
    <w:rsid w:val="44946F0E"/>
    <w:rsid w:val="4C51283A"/>
    <w:rsid w:val="4F712E54"/>
    <w:rsid w:val="51953D27"/>
    <w:rsid w:val="52E53CDC"/>
    <w:rsid w:val="586700E0"/>
    <w:rsid w:val="58975A79"/>
    <w:rsid w:val="59EC5E73"/>
    <w:rsid w:val="5E916AC6"/>
    <w:rsid w:val="608368E3"/>
    <w:rsid w:val="629D1EDE"/>
    <w:rsid w:val="64CD49A5"/>
    <w:rsid w:val="64EE7FDE"/>
    <w:rsid w:val="66BB38F8"/>
    <w:rsid w:val="68066A4A"/>
    <w:rsid w:val="6BB64010"/>
    <w:rsid w:val="6EA54B50"/>
    <w:rsid w:val="7548217D"/>
    <w:rsid w:val="758111EB"/>
    <w:rsid w:val="76565EDA"/>
    <w:rsid w:val="782A6D2D"/>
    <w:rsid w:val="7AA37E55"/>
    <w:rsid w:val="7CB13FFA"/>
    <w:rsid w:val="7FF41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ind w:left="1680" w:leftChars="800"/>
    </w:pPr>
  </w:style>
  <w:style w:type="paragraph" w:styleId="4">
    <w:name w:val="Normal (Web)"/>
    <w:basedOn w:val="1"/>
    <w:qFormat/>
    <w:uiPriority w:val="99"/>
    <w:pPr>
      <w:spacing w:line="432" w:lineRule="auto"/>
      <w:jc w:val="left"/>
    </w:pPr>
    <w:rPr>
      <w:kern w:val="0"/>
      <w:sz w:val="24"/>
      <w:szCs w:val="24"/>
    </w:rPr>
  </w:style>
  <w:style w:type="paragraph" w:styleId="7">
    <w:name w:val="List Paragraph"/>
    <w:basedOn w:val="1"/>
    <w:qFormat/>
    <w:uiPriority w:val="99"/>
    <w:pPr>
      <w:ind w:firstLine="420" w:firstLineChars="200"/>
    </w:pPr>
    <w:rPr>
      <w:rFonts w:ascii="Calibri" w:hAnsi="Calibri"/>
      <w:szCs w:val="22"/>
    </w:rPr>
  </w:style>
  <w:style w:type="paragraph" w:customStyle="1" w:styleId="8">
    <w:name w:val="列出段落1"/>
    <w:basedOn w:val="1"/>
    <w:qFormat/>
    <w:uiPriority w:val="34"/>
    <w:pPr>
      <w:ind w:firstLine="420" w:firstLineChars="200"/>
    </w:p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5565</Words>
  <Characters>6006</Characters>
  <Lines>0</Lines>
  <Paragraphs>0</Paragraphs>
  <TotalTime>0</TotalTime>
  <ScaleCrop>false</ScaleCrop>
  <LinksUpToDate>false</LinksUpToDate>
  <CharactersWithSpaces>6194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2023-06-28T02:34:00Z</dcterms:created>
  <dc:creator>Administrator</dc:creator>
  <cp:lastModifiedBy>Gat</cp:lastModifiedBy>
  <cp:lastPrinted>2023-07-11T07:22:00Z</cp:lastPrinted>
  <dcterms:modified xsi:type="dcterms:W3CDTF">2024-08-13T04:00:55Z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19B7B15D0804443CA38D538DC3B39273_13</vt:lpwstr>
  </property>
</Properties>
</file>