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B86DB">
      <w:pPr>
        <w:pStyle w:val="3"/>
        <w:ind w:firstLine="0" w:firstLineChars="0"/>
        <w:rPr>
          <w:rFonts w:hint="eastAsia" w:ascii="黑体" w:hAnsi="黑体" w:eastAsia="黑体" w:cs="黑体"/>
          <w:color w:val="000000"/>
          <w:spacing w:val="0"/>
        </w:rPr>
      </w:pPr>
      <w:r>
        <w:rPr>
          <w:rFonts w:hint="eastAsia" w:ascii="黑体" w:hAnsi="黑体" w:eastAsia="黑体" w:cs="黑体"/>
          <w:color w:val="000000"/>
          <w:spacing w:val="0"/>
        </w:rPr>
        <w:t>附件1</w:t>
      </w:r>
    </w:p>
    <w:p w14:paraId="53BE288D">
      <w:pPr>
        <w:pStyle w:val="2"/>
        <w:rPr>
          <w:rFonts w:ascii="Times New Roman" w:hAnsi="Times New Roman" w:cs="Times New Roman"/>
          <w:color w:val="000000"/>
          <w:spacing w:val="0"/>
          <w:sz w:val="40"/>
          <w:szCs w:val="40"/>
        </w:rPr>
      </w:pPr>
      <w:r>
        <w:rPr>
          <w:rFonts w:ascii="Times New Roman" w:hAnsi="Times New Roman" w:cs="Times New Roman"/>
          <w:color w:val="000000"/>
          <w:spacing w:val="0"/>
          <w:sz w:val="40"/>
          <w:szCs w:val="40"/>
        </w:rPr>
        <w:t>晚稻稳面增产技术措施</w:t>
      </w:r>
    </w:p>
    <w:p w14:paraId="7E98A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color w:val="000000"/>
          <w:spacing w:val="0"/>
        </w:rPr>
      </w:pPr>
    </w:p>
    <w:p w14:paraId="51332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</w:rPr>
      </w:pPr>
      <w:r>
        <w:rPr>
          <w:rStyle w:val="7"/>
          <w:rFonts w:hint="eastAsia" w:ascii="楷体_GB2312" w:hAnsi="楷体_GB2312" w:eastAsia="楷体_GB2312" w:cs="楷体_GB2312"/>
          <w:color w:val="000000"/>
          <w:spacing w:val="0"/>
        </w:rPr>
        <w:t>1.严控秧龄，适时抢时移栽。</w:t>
      </w:r>
      <w:r>
        <w:rPr>
          <w:rFonts w:hint="eastAsia" w:ascii="仿宋_GB2312" w:hAnsi="仿宋_GB2312" w:eastAsia="仿宋_GB2312" w:cs="仿宋_GB2312"/>
          <w:color w:val="000000"/>
          <w:spacing w:val="0"/>
        </w:rPr>
        <w:t>早稻可在黄熟85%左右，开始进行收割。晚稻秧苗应严格控制秧龄，争取低节位分蘖，为搭建丰产苗架打下基础。一般机插秧秧龄15～20天，抛秧秧龄15～23天，尽量避免栽插超秧龄的秧苗。</w:t>
      </w:r>
    </w:p>
    <w:p w14:paraId="56C06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szCs w:val="32"/>
        </w:rPr>
        <w:t>2.合理密植，保证基本苗数。</w:t>
      </w:r>
      <w:r>
        <w:rPr>
          <w:rFonts w:hint="eastAsia" w:ascii="仿宋_GB2312" w:hAnsi="仿宋_GB2312" w:eastAsia="仿宋_GB2312" w:cs="仿宋_GB2312"/>
          <w:color w:val="000000"/>
          <w:spacing w:val="0"/>
        </w:rPr>
        <w:t>机插秧往往以稀为快，基本苗数不够，导致有效穗不足，产量难以提高。适宜的移栽密度是水稻早发群体建立的基础，要充分利用现有秧苗保障大田需求，合理确定种植密度，每亩杂交晚稻栽插1.8万蔸、常规晚稻2.0万蔸左右。</w:t>
      </w:r>
    </w:p>
    <w:p w14:paraId="6157C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szCs w:val="32"/>
        </w:rPr>
        <w:t>3.均匀栽插，提高移栽质量。</w:t>
      </w:r>
      <w:r>
        <w:rPr>
          <w:rFonts w:hint="eastAsia" w:ascii="仿宋_GB2312" w:hAnsi="仿宋_GB2312" w:eastAsia="仿宋_GB2312" w:cs="仿宋_GB2312"/>
          <w:color w:val="000000"/>
          <w:spacing w:val="0"/>
        </w:rPr>
        <w:t>健壮群体构建依赖于栽插质量，要求栽插均匀，深度控制在2-3cm以内。机械移栽时，选择无缺苗、长势均匀的秧盘进行移栽，行进速度均匀，保持在2-5km/h之间，确保秧苗栽插均匀，有利于构建早发高产群体。</w:t>
      </w:r>
    </w:p>
    <w:p w14:paraId="350D9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szCs w:val="32"/>
        </w:rPr>
        <w:t>4.统筹育秧用秧信息，秧苗不足时采用翻秋直播补救。</w:t>
      </w:r>
      <w:r>
        <w:rPr>
          <w:rFonts w:hint="eastAsia" w:ascii="仿宋_GB2312" w:hAnsi="仿宋_GB2312" w:eastAsia="仿宋_GB2312" w:cs="仿宋_GB2312"/>
          <w:color w:val="000000"/>
          <w:spacing w:val="0"/>
        </w:rPr>
        <w:t>及早收集各区域的育秧和用秧情况，积极协调区域间的秧苗供应，做到秧尽用、田尽栽。对于秧苗仍然不足的地方，采用翻秋直播补救。湘北地区7月15日前可选择生育期在105天左右的早熟早稻品种进行翻秋直播，可选用湘早籼45号、湘早籼24号等；7月15日以后翻秋只能选择特早熟早稻品种，可选用南陵早2号、浙辐7号等，最晚不能晚于7月25日。“翻秋”种植注意前期高温天气对出苗的影响，加强水分管理。</w:t>
      </w:r>
    </w:p>
    <w:p w14:paraId="21CDF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szCs w:val="32"/>
        </w:rPr>
        <w:t>5.加强水利配备，保障晚稻用水安全。</w:t>
      </w:r>
      <w:r>
        <w:rPr>
          <w:rFonts w:hint="eastAsia" w:ascii="仿宋_GB2312" w:hAnsi="仿宋_GB2312" w:eastAsia="仿宋_GB2312" w:cs="仿宋_GB2312"/>
          <w:color w:val="000000"/>
          <w:spacing w:val="0"/>
        </w:rPr>
        <w:t>水利条件是保障晚稻生产的关键。抓紧时间检修山塘、水库、沟渠、河流，提高蓄水输水能力，做到有水灌且能灌到位。山坡梯田尽量加强对自然降雨的利用，管好田间存水；确保晚稻用水需求。</w:t>
      </w:r>
    </w:p>
    <w:p w14:paraId="41B2C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szCs w:val="32"/>
        </w:rPr>
        <w:t>6.施足底肥，早施蘖肥，巧施穗肥。</w:t>
      </w:r>
      <w:r>
        <w:rPr>
          <w:rFonts w:hint="eastAsia" w:ascii="仿宋_GB2312" w:hAnsi="仿宋_GB2312" w:eastAsia="仿宋_GB2312" w:cs="仿宋_GB2312"/>
          <w:color w:val="000000"/>
          <w:spacing w:val="0"/>
        </w:rPr>
        <w:t>大田施足底肥，每亩施用总养分含量40%或以上的复合肥30-40公斤，犁田时适度深耕（15-20厘米）翻入土中。早施分蘖肥，于移栽后5-7天每亩施尿素8-10公斤，促进分蘖早生快发。巧施穗肥，在幼穗分化2-4期根据水稻叶色确定施用适量尿素和钾肥，以增强植株后期抗倒能力，促进大穗形成。</w:t>
      </w:r>
    </w:p>
    <w:p w14:paraId="6BE3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szCs w:val="32"/>
        </w:rPr>
        <w:t>7.一喷多促，抗逆稳产。</w:t>
      </w:r>
      <w:r>
        <w:rPr>
          <w:rFonts w:hint="eastAsia" w:ascii="仿宋_GB2312" w:hAnsi="仿宋_GB2312" w:eastAsia="仿宋_GB2312" w:cs="仿宋_GB2312"/>
          <w:color w:val="000000"/>
          <w:spacing w:val="0"/>
        </w:rPr>
        <w:t>晚稻生长后期如遇持续高温或低温天气，可在幼穗分化期、破口前和灌浆期各喷施1次芸苔素内酯+磷酸二氢钾，提高晚稻抗高低温、抗旱能力，促进水稻生长发育、灌浆成熟，生育期提早3-5天，同时有利于丰产稳产。</w:t>
      </w:r>
    </w:p>
    <w:p w14:paraId="1D1CA3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D3DD1DB"/>
    <w:rsid w:val="8D3DD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napToGrid w:val="0"/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7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2"/>
    </w:pPr>
    <w:rPr>
      <w:rFonts w:ascii="Times New Roman" w:hAnsi="Times New Roman" w:eastAsia="楷体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uiPriority w:val="0"/>
    <w:rPr>
      <w:rFonts w:eastAsia="楷体_GB2312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2025-09-05T14:42:00Z</dcterms:created>
  <dc:creator>卡卡</dc:creator>
  <cp:lastModifiedBy>卡卡</cp:lastModifiedBy>
  <dcterms:modified xsi:type="dcterms:W3CDTF">2025-09-05T14:42:42Z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B28781CAAB8C0E7F5586BA681E9B7F74_41</vt:lpwstr>
  </property>
</Properties>
</file>