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3D9CD">
      <w:pPr>
        <w:spacing w:line="348" w:lineRule="auto"/>
        <w:jc w:val="center"/>
        <w:rPr>
          <w:rFonts w:eastAsia="方正小标宋简体"/>
          <w:bCs/>
          <w:sz w:val="42"/>
          <w:szCs w:val="42"/>
        </w:rPr>
      </w:pPr>
      <w:bookmarkStart w:id="0" w:name="_GoBack"/>
      <w:bookmarkEnd w:id="0"/>
    </w:p>
    <w:p w14:paraId="0CCF0A36">
      <w:pPr>
        <w:spacing w:line="800" w:lineRule="exact"/>
        <w:jc w:val="center"/>
        <w:rPr>
          <w:rFonts w:eastAsia="方正小标宋简体"/>
          <w:bCs/>
          <w:sz w:val="46"/>
          <w:szCs w:val="46"/>
        </w:rPr>
      </w:pPr>
      <w:r>
        <w:rPr>
          <w:rFonts w:hint="eastAsia" w:eastAsia="方正小标宋简体"/>
          <w:bCs/>
          <w:sz w:val="46"/>
          <w:szCs w:val="46"/>
        </w:rPr>
        <w:t>君山区20年度部门（单位）整体支出</w:t>
      </w:r>
    </w:p>
    <w:p w14:paraId="488A5249">
      <w:pPr>
        <w:spacing w:line="800" w:lineRule="exact"/>
        <w:jc w:val="center"/>
        <w:rPr>
          <w:rFonts w:eastAsia="方正小标宋简体"/>
          <w:bCs/>
          <w:sz w:val="46"/>
          <w:szCs w:val="46"/>
        </w:rPr>
      </w:pPr>
      <w:r>
        <w:rPr>
          <w:rFonts w:hint="eastAsia" w:eastAsia="方正小标宋简体"/>
          <w:bCs/>
          <w:sz w:val="46"/>
          <w:szCs w:val="46"/>
        </w:rPr>
        <w:t>绩效评价自评报告</w:t>
      </w:r>
    </w:p>
    <w:p w14:paraId="75C23FDD">
      <w:pPr>
        <w:rPr>
          <w:rFonts w:eastAsia="仿宋_GB2312"/>
          <w:b/>
          <w:sz w:val="32"/>
        </w:rPr>
      </w:pPr>
    </w:p>
    <w:p w14:paraId="7D8E00B9">
      <w:pPr>
        <w:rPr>
          <w:rFonts w:eastAsia="仿宋_GB2312"/>
          <w:b/>
          <w:sz w:val="32"/>
        </w:rPr>
      </w:pPr>
    </w:p>
    <w:p w14:paraId="7CC29133">
      <w:pPr>
        <w:rPr>
          <w:rFonts w:eastAsia="仿宋_GB2312"/>
          <w:b/>
          <w:sz w:val="32"/>
        </w:rPr>
      </w:pPr>
    </w:p>
    <w:p w14:paraId="1AE10335">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岳阳市君山区退役军人事务局</w:t>
      </w:r>
    </w:p>
    <w:p w14:paraId="70FAA738">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eastAsia="仿宋_GB2312"/>
          <w:spacing w:val="30"/>
          <w:sz w:val="32"/>
          <w:szCs w:val="32"/>
          <w:u w:val="single"/>
        </w:rPr>
        <w:t>13</w:t>
      </w:r>
      <w:r>
        <w:rPr>
          <w:rFonts w:hint="eastAsia" w:eastAsia="仿宋_GB2312"/>
          <w:spacing w:val="30"/>
          <w:sz w:val="32"/>
          <w:szCs w:val="32"/>
          <w:u w:val="single"/>
        </w:rPr>
        <w:t>5</w:t>
      </w:r>
    </w:p>
    <w:p w14:paraId="054BF8D7">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14:paraId="442316CC">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14:paraId="6543B3A9">
      <w:pPr>
        <w:spacing w:line="348" w:lineRule="auto"/>
        <w:ind w:firstLine="2188" w:firstLineChars="690"/>
        <w:rPr>
          <w:rFonts w:eastAsia="仿宋_GB2312"/>
          <w:sz w:val="32"/>
        </w:rPr>
      </w:pPr>
    </w:p>
    <w:p w14:paraId="6F9F59B7">
      <w:pPr>
        <w:spacing w:line="348" w:lineRule="auto"/>
        <w:ind w:firstLine="2188" w:firstLineChars="690"/>
        <w:rPr>
          <w:rFonts w:eastAsia="仿宋_GB2312"/>
          <w:sz w:val="32"/>
        </w:rPr>
      </w:pPr>
    </w:p>
    <w:p w14:paraId="4B87A76A">
      <w:pPr>
        <w:spacing w:line="348" w:lineRule="auto"/>
        <w:jc w:val="center"/>
        <w:rPr>
          <w:rFonts w:eastAsia="仿宋_GB2312"/>
          <w:sz w:val="32"/>
        </w:rPr>
      </w:pPr>
      <w:r>
        <w:rPr>
          <w:rFonts w:hint="eastAsia" w:eastAsia="仿宋_GB2312"/>
          <w:sz w:val="32"/>
        </w:rPr>
        <w:t>报告日期： 2021年07月05日</w:t>
      </w:r>
    </w:p>
    <w:p w14:paraId="4F58256D">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君山区财政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103"/>
        <w:gridCol w:w="187"/>
        <w:gridCol w:w="1145"/>
        <w:gridCol w:w="272"/>
        <w:gridCol w:w="898"/>
        <w:gridCol w:w="1615"/>
        <w:gridCol w:w="196"/>
        <w:gridCol w:w="259"/>
        <w:gridCol w:w="1080"/>
        <w:gridCol w:w="265"/>
        <w:gridCol w:w="139"/>
        <w:gridCol w:w="316"/>
        <w:gridCol w:w="625"/>
      </w:tblGrid>
      <w:tr w14:paraId="7C872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14:paraId="69686BF7">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14:paraId="4112C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4DFB765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651" w:type="dxa"/>
            <w:gridSpan w:val="6"/>
            <w:vAlign w:val="center"/>
          </w:tcPr>
          <w:p w14:paraId="0B228EE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刘屹</w:t>
            </w:r>
          </w:p>
        </w:tc>
        <w:tc>
          <w:tcPr>
            <w:tcW w:w="1811" w:type="dxa"/>
            <w:gridSpan w:val="2"/>
            <w:vAlign w:val="center"/>
          </w:tcPr>
          <w:p w14:paraId="736533F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684" w:type="dxa"/>
            <w:gridSpan w:val="6"/>
            <w:vAlign w:val="center"/>
          </w:tcPr>
          <w:p w14:paraId="267F920B">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18974000560</w:t>
            </w:r>
          </w:p>
        </w:tc>
      </w:tr>
      <w:tr w14:paraId="07120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6CF981C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651" w:type="dxa"/>
            <w:gridSpan w:val="6"/>
            <w:vAlign w:val="center"/>
          </w:tcPr>
          <w:p w14:paraId="0E8DBF41">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15</w:t>
            </w:r>
          </w:p>
        </w:tc>
        <w:tc>
          <w:tcPr>
            <w:tcW w:w="1811" w:type="dxa"/>
            <w:gridSpan w:val="2"/>
            <w:vAlign w:val="center"/>
          </w:tcPr>
          <w:p w14:paraId="039E5E2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684" w:type="dxa"/>
            <w:gridSpan w:val="6"/>
            <w:vAlign w:val="center"/>
          </w:tcPr>
          <w:p w14:paraId="35B21836">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12</w:t>
            </w:r>
          </w:p>
        </w:tc>
      </w:tr>
      <w:tr w14:paraId="3826A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50" w:hRule="atLeast"/>
          <w:jc w:val="center"/>
        </w:trPr>
        <w:tc>
          <w:tcPr>
            <w:tcW w:w="1654" w:type="dxa"/>
            <w:gridSpan w:val="2"/>
            <w:vAlign w:val="center"/>
          </w:tcPr>
          <w:p w14:paraId="0230CDD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vAlign w:val="center"/>
          </w:tcPr>
          <w:p w14:paraId="7F97D6A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要职能是贯彻落实党和国家及省关于退役军人的工作的方针政策、法律法规和决策部署。负责我区军队转业干部、复原干部、离休干部、退役士兵的移交安置工作及其自主择业、就业退役军人的服务管理工作。组织指导退役军人教育培训工作，协调扶持退役军人和随军家属的就业创业。贯彻落实退役军人特殊保障政策及企业中军队转业干部的解困政策。负责烈士及退役军人荣誉奖励、军人公母管理维护、纪念活动等工作。组织指导伤残退役军人服务管理和抚恤工作。指导并监督检查退役军人相关法律法规和政策措施的落实。组织开展退役军人权益维护和有关人员的帮扶援助工作。</w:t>
            </w:r>
          </w:p>
        </w:tc>
      </w:tr>
      <w:tr w14:paraId="55A69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94" w:hRule="atLeast"/>
          <w:jc w:val="center"/>
        </w:trPr>
        <w:tc>
          <w:tcPr>
            <w:tcW w:w="1654" w:type="dxa"/>
            <w:gridSpan w:val="2"/>
            <w:vAlign w:val="center"/>
          </w:tcPr>
          <w:p w14:paraId="0BC3FE8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14:paraId="11FA7A9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vAlign w:val="center"/>
          </w:tcPr>
          <w:p w14:paraId="289D3A1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一、强化理论学习，加强思想政治年建设</w:t>
            </w:r>
          </w:p>
          <w:p w14:paraId="372D05C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二、健全服务保障体系，完善基层基础基本年建设</w:t>
            </w:r>
          </w:p>
          <w:p w14:paraId="5F34E88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三、加大接访力度，落实矛盾攻坚化解年工作</w:t>
            </w:r>
          </w:p>
          <w:p w14:paraId="7C9804C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四、搭建线上线下双平台，助力退役军人群体稳就业</w:t>
            </w:r>
          </w:p>
          <w:p w14:paraId="0359E7F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五、全力投入防控新冠肺炎疫情阻击战</w:t>
            </w:r>
          </w:p>
          <w:p w14:paraId="5FD1202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六、严格落实各项优抚安置政策</w:t>
            </w:r>
          </w:p>
        </w:tc>
      </w:tr>
      <w:tr w14:paraId="67881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30" w:hRule="atLeast"/>
          <w:jc w:val="center"/>
        </w:trPr>
        <w:tc>
          <w:tcPr>
            <w:tcW w:w="1654" w:type="dxa"/>
            <w:gridSpan w:val="2"/>
            <w:vAlign w:val="center"/>
          </w:tcPr>
          <w:p w14:paraId="3A31FF15">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vAlign w:val="center"/>
          </w:tcPr>
          <w:p w14:paraId="57CFF15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今年来，我局党组多次开会研究今年的党建、宣传和意识形态工作如何更好的开展等问题。定期开展“三会一课”、主题党日等党建活动，充分利用“学习强国”平台，积极开展多种形式的党员教育活动。四月份我局在扶贫联点村开展了主题党日活动，并且给贫困户送去化肥、农药等生产物资；六月份在郴州汝城县沙洲村开展“不忘初心 传承半条被子精神”主题党日活动；每月按时</w:t>
            </w:r>
            <w:r>
              <w:rPr>
                <w:rFonts w:hint="eastAsia" w:ascii="仿宋_GB2312" w:hAnsi="仿宋_GB2312" w:eastAsia="仿宋_GB2312" w:cs="仿宋_GB2312"/>
                <w:color w:val="000000"/>
                <w:sz w:val="24"/>
                <w:lang w:eastAsia="zh-CN"/>
              </w:rPr>
              <w:t>交纳党费</w:t>
            </w:r>
            <w:r>
              <w:rPr>
                <w:rFonts w:hint="eastAsia" w:ascii="仿宋_GB2312" w:hAnsi="仿宋_GB2312" w:eastAsia="仿宋_GB2312" w:cs="仿宋_GB2312"/>
                <w:color w:val="000000"/>
                <w:sz w:val="24"/>
              </w:rPr>
              <w:t>，按要求做好机关党员的积分量化管理工作；我局在成立一周年之际在岳阳日报刊发的专版《当好“娘家人” 做好“服务者”》引来各界好评，在全区范围内营造了良好的崇军氛围，增强了全体退役军人的集体荣誉感、幸福感和使命感。局党组尤其重视意识形态工作，要求全体机关干部坚持学习“学习强国”，每日进行排名，学时事学政治，提升整体的政治素养，为加强思想建设年工作筑牢基础。</w:t>
            </w:r>
          </w:p>
        </w:tc>
      </w:tr>
      <w:tr w14:paraId="1413E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14:paraId="7ECABD8C">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14:paraId="186D8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14:paraId="3E81A21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14:paraId="063D7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14:paraId="52E9193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103" w:type="dxa"/>
            <w:vMerge w:val="restart"/>
            <w:tcBorders>
              <w:right w:val="single" w:color="auto" w:sz="4" w:space="0"/>
            </w:tcBorders>
            <w:vAlign w:val="center"/>
          </w:tcPr>
          <w:p w14:paraId="33930AE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6997" w:type="dxa"/>
            <w:gridSpan w:val="12"/>
            <w:tcBorders>
              <w:left w:val="single" w:color="auto" w:sz="4" w:space="0"/>
            </w:tcBorders>
            <w:vAlign w:val="center"/>
          </w:tcPr>
          <w:p w14:paraId="7D0EF80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710FD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14:paraId="768233E9">
            <w:pPr>
              <w:autoSpaceDN w:val="0"/>
              <w:spacing w:line="320" w:lineRule="exact"/>
              <w:jc w:val="center"/>
              <w:textAlignment w:val="center"/>
              <w:rPr>
                <w:rFonts w:ascii="仿宋_GB2312" w:hAnsi="仿宋_GB2312" w:eastAsia="仿宋_GB2312" w:cs="仿宋_GB2312"/>
                <w:color w:val="000000"/>
                <w:sz w:val="24"/>
              </w:rPr>
            </w:pPr>
          </w:p>
        </w:tc>
        <w:tc>
          <w:tcPr>
            <w:tcW w:w="1103" w:type="dxa"/>
            <w:vMerge w:val="continue"/>
            <w:tcBorders>
              <w:right w:val="single" w:color="auto" w:sz="4" w:space="0"/>
            </w:tcBorders>
            <w:vAlign w:val="center"/>
          </w:tcPr>
          <w:p w14:paraId="22FC6F14">
            <w:pPr>
              <w:autoSpaceDN w:val="0"/>
              <w:spacing w:line="320" w:lineRule="exact"/>
              <w:jc w:val="center"/>
              <w:textAlignment w:val="center"/>
              <w:rPr>
                <w:rFonts w:ascii="仿宋_GB2312" w:hAnsi="仿宋_GB2312" w:eastAsia="仿宋_GB2312" w:cs="仿宋_GB2312"/>
                <w:color w:val="000000"/>
                <w:sz w:val="24"/>
              </w:rPr>
            </w:pPr>
          </w:p>
        </w:tc>
        <w:tc>
          <w:tcPr>
            <w:tcW w:w="1332" w:type="dxa"/>
            <w:gridSpan w:val="2"/>
            <w:tcBorders>
              <w:left w:val="single" w:color="auto" w:sz="4" w:space="0"/>
            </w:tcBorders>
            <w:vAlign w:val="center"/>
          </w:tcPr>
          <w:p w14:paraId="28E0062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170" w:type="dxa"/>
            <w:gridSpan w:val="2"/>
            <w:vAlign w:val="center"/>
          </w:tcPr>
          <w:p w14:paraId="094CD18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14:paraId="5E3ACFF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615" w:type="dxa"/>
            <w:vAlign w:val="center"/>
          </w:tcPr>
          <w:p w14:paraId="164EA81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14:paraId="29D9212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14:paraId="1392779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14:paraId="3A387E7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14:paraId="2E19E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14:paraId="12D513F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103" w:type="dxa"/>
            <w:tcBorders>
              <w:right w:val="single" w:color="auto" w:sz="4" w:space="0"/>
            </w:tcBorders>
            <w:vAlign w:val="center"/>
          </w:tcPr>
          <w:p w14:paraId="18D55AE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2178.52</w:t>
            </w:r>
          </w:p>
        </w:tc>
        <w:tc>
          <w:tcPr>
            <w:tcW w:w="1332" w:type="dxa"/>
            <w:gridSpan w:val="2"/>
            <w:tcBorders>
              <w:left w:val="single" w:color="auto" w:sz="4" w:space="0"/>
            </w:tcBorders>
            <w:vAlign w:val="center"/>
          </w:tcPr>
          <w:p w14:paraId="25DDE20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127.81</w:t>
            </w:r>
          </w:p>
        </w:tc>
        <w:tc>
          <w:tcPr>
            <w:tcW w:w="1170" w:type="dxa"/>
            <w:gridSpan w:val="2"/>
            <w:vAlign w:val="center"/>
          </w:tcPr>
          <w:p w14:paraId="54390F9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2050.71</w:t>
            </w:r>
          </w:p>
        </w:tc>
        <w:tc>
          <w:tcPr>
            <w:tcW w:w="1615" w:type="dxa"/>
            <w:vAlign w:val="center"/>
          </w:tcPr>
          <w:p w14:paraId="7AEDCD3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0.00</w:t>
            </w:r>
          </w:p>
        </w:tc>
        <w:tc>
          <w:tcPr>
            <w:tcW w:w="1800" w:type="dxa"/>
            <w:gridSpan w:val="4"/>
            <w:vAlign w:val="center"/>
          </w:tcPr>
          <w:p w14:paraId="254C89A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0.00</w:t>
            </w:r>
          </w:p>
        </w:tc>
        <w:tc>
          <w:tcPr>
            <w:tcW w:w="1080" w:type="dxa"/>
            <w:gridSpan w:val="3"/>
            <w:vAlign w:val="center"/>
          </w:tcPr>
          <w:p w14:paraId="757CD1B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0.00</w:t>
            </w:r>
          </w:p>
        </w:tc>
      </w:tr>
      <w:tr w14:paraId="0217B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6D325420">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103" w:type="dxa"/>
            <w:tcBorders>
              <w:right w:val="single" w:color="auto" w:sz="4" w:space="0"/>
            </w:tcBorders>
            <w:vAlign w:val="center"/>
          </w:tcPr>
          <w:p w14:paraId="78A7945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2178.52</w:t>
            </w:r>
          </w:p>
        </w:tc>
        <w:tc>
          <w:tcPr>
            <w:tcW w:w="1332" w:type="dxa"/>
            <w:gridSpan w:val="2"/>
            <w:tcBorders>
              <w:left w:val="single" w:color="auto" w:sz="4" w:space="0"/>
            </w:tcBorders>
            <w:vAlign w:val="center"/>
          </w:tcPr>
          <w:p w14:paraId="30EA801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127.81</w:t>
            </w:r>
          </w:p>
        </w:tc>
        <w:tc>
          <w:tcPr>
            <w:tcW w:w="1170" w:type="dxa"/>
            <w:gridSpan w:val="2"/>
            <w:vAlign w:val="center"/>
          </w:tcPr>
          <w:p w14:paraId="4DDF1E7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2050.71</w:t>
            </w:r>
          </w:p>
        </w:tc>
        <w:tc>
          <w:tcPr>
            <w:tcW w:w="1615" w:type="dxa"/>
            <w:vAlign w:val="center"/>
          </w:tcPr>
          <w:p w14:paraId="2F6F497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0.00</w:t>
            </w:r>
          </w:p>
        </w:tc>
        <w:tc>
          <w:tcPr>
            <w:tcW w:w="1800" w:type="dxa"/>
            <w:gridSpan w:val="4"/>
            <w:vAlign w:val="center"/>
          </w:tcPr>
          <w:p w14:paraId="6AC2F3F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0.00</w:t>
            </w:r>
          </w:p>
        </w:tc>
        <w:tc>
          <w:tcPr>
            <w:tcW w:w="1080" w:type="dxa"/>
            <w:gridSpan w:val="3"/>
            <w:vAlign w:val="center"/>
          </w:tcPr>
          <w:p w14:paraId="226027E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0.00</w:t>
            </w:r>
          </w:p>
        </w:tc>
      </w:tr>
      <w:tr w14:paraId="6FEDC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22AB7FBE">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103" w:type="dxa"/>
            <w:tcBorders>
              <w:right w:val="single" w:color="auto" w:sz="4" w:space="0"/>
            </w:tcBorders>
            <w:vAlign w:val="center"/>
          </w:tcPr>
          <w:p w14:paraId="4DEEB900">
            <w:pPr>
              <w:autoSpaceDN w:val="0"/>
              <w:spacing w:line="320" w:lineRule="exact"/>
              <w:jc w:val="left"/>
              <w:textAlignment w:val="center"/>
              <w:rPr>
                <w:rFonts w:ascii="仿宋_GB2312" w:hAnsi="仿宋_GB2312" w:eastAsia="仿宋_GB2312" w:cs="仿宋_GB2312"/>
                <w:color w:val="000000"/>
                <w:sz w:val="24"/>
              </w:rPr>
            </w:pPr>
          </w:p>
        </w:tc>
        <w:tc>
          <w:tcPr>
            <w:tcW w:w="1332" w:type="dxa"/>
            <w:gridSpan w:val="2"/>
            <w:tcBorders>
              <w:left w:val="single" w:color="auto" w:sz="4" w:space="0"/>
            </w:tcBorders>
            <w:vAlign w:val="center"/>
          </w:tcPr>
          <w:p w14:paraId="32C0DD20">
            <w:pPr>
              <w:autoSpaceDN w:val="0"/>
              <w:spacing w:line="320" w:lineRule="exact"/>
              <w:jc w:val="left"/>
              <w:textAlignment w:val="center"/>
              <w:rPr>
                <w:rFonts w:ascii="仿宋_GB2312" w:hAnsi="仿宋_GB2312" w:eastAsia="仿宋_GB2312" w:cs="仿宋_GB2312"/>
                <w:color w:val="000000"/>
                <w:sz w:val="24"/>
              </w:rPr>
            </w:pPr>
          </w:p>
        </w:tc>
        <w:tc>
          <w:tcPr>
            <w:tcW w:w="1170" w:type="dxa"/>
            <w:gridSpan w:val="2"/>
            <w:vAlign w:val="center"/>
          </w:tcPr>
          <w:p w14:paraId="73594E03">
            <w:pPr>
              <w:autoSpaceDN w:val="0"/>
              <w:spacing w:line="320" w:lineRule="exact"/>
              <w:jc w:val="left"/>
              <w:textAlignment w:val="center"/>
              <w:rPr>
                <w:rFonts w:ascii="仿宋_GB2312" w:hAnsi="仿宋_GB2312" w:eastAsia="仿宋_GB2312" w:cs="仿宋_GB2312"/>
                <w:color w:val="000000"/>
                <w:sz w:val="24"/>
              </w:rPr>
            </w:pPr>
          </w:p>
        </w:tc>
        <w:tc>
          <w:tcPr>
            <w:tcW w:w="1615" w:type="dxa"/>
            <w:vAlign w:val="center"/>
          </w:tcPr>
          <w:p w14:paraId="4C34A640">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50C830FB">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633B8017">
            <w:pPr>
              <w:autoSpaceDN w:val="0"/>
              <w:spacing w:line="320" w:lineRule="exact"/>
              <w:jc w:val="left"/>
              <w:textAlignment w:val="center"/>
              <w:rPr>
                <w:rFonts w:ascii="仿宋_GB2312" w:hAnsi="仿宋_GB2312" w:eastAsia="仿宋_GB2312" w:cs="仿宋_GB2312"/>
                <w:color w:val="000000"/>
                <w:sz w:val="24"/>
              </w:rPr>
            </w:pPr>
          </w:p>
        </w:tc>
      </w:tr>
      <w:tr w14:paraId="6AE00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14:paraId="19D09A54">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103" w:type="dxa"/>
            <w:tcBorders>
              <w:right w:val="single" w:color="auto" w:sz="4" w:space="0"/>
            </w:tcBorders>
            <w:vAlign w:val="center"/>
          </w:tcPr>
          <w:p w14:paraId="529CBE5F">
            <w:pPr>
              <w:autoSpaceDN w:val="0"/>
              <w:spacing w:line="320" w:lineRule="exact"/>
              <w:jc w:val="left"/>
              <w:textAlignment w:val="center"/>
              <w:rPr>
                <w:rFonts w:ascii="仿宋_GB2312" w:hAnsi="仿宋_GB2312" w:eastAsia="仿宋_GB2312" w:cs="仿宋_GB2312"/>
                <w:color w:val="000000"/>
                <w:sz w:val="24"/>
              </w:rPr>
            </w:pPr>
          </w:p>
        </w:tc>
        <w:tc>
          <w:tcPr>
            <w:tcW w:w="1332" w:type="dxa"/>
            <w:gridSpan w:val="2"/>
            <w:tcBorders>
              <w:left w:val="single" w:color="auto" w:sz="4" w:space="0"/>
            </w:tcBorders>
            <w:vAlign w:val="center"/>
          </w:tcPr>
          <w:p w14:paraId="70BD4615">
            <w:pPr>
              <w:autoSpaceDN w:val="0"/>
              <w:spacing w:line="320" w:lineRule="exact"/>
              <w:jc w:val="left"/>
              <w:textAlignment w:val="center"/>
              <w:rPr>
                <w:rFonts w:ascii="仿宋_GB2312" w:hAnsi="仿宋_GB2312" w:eastAsia="仿宋_GB2312" w:cs="仿宋_GB2312"/>
                <w:color w:val="000000"/>
                <w:sz w:val="24"/>
              </w:rPr>
            </w:pPr>
          </w:p>
        </w:tc>
        <w:tc>
          <w:tcPr>
            <w:tcW w:w="1170" w:type="dxa"/>
            <w:gridSpan w:val="2"/>
            <w:vAlign w:val="center"/>
          </w:tcPr>
          <w:p w14:paraId="3923CB96">
            <w:pPr>
              <w:autoSpaceDN w:val="0"/>
              <w:spacing w:line="320" w:lineRule="exact"/>
              <w:jc w:val="left"/>
              <w:textAlignment w:val="center"/>
              <w:rPr>
                <w:rFonts w:ascii="仿宋_GB2312" w:hAnsi="仿宋_GB2312" w:eastAsia="仿宋_GB2312" w:cs="仿宋_GB2312"/>
                <w:color w:val="000000"/>
                <w:sz w:val="24"/>
              </w:rPr>
            </w:pPr>
          </w:p>
        </w:tc>
        <w:tc>
          <w:tcPr>
            <w:tcW w:w="1615" w:type="dxa"/>
            <w:vAlign w:val="center"/>
          </w:tcPr>
          <w:p w14:paraId="1EDCA223">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vAlign w:val="center"/>
          </w:tcPr>
          <w:p w14:paraId="22CE58B7">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14:paraId="0FF1A4D8">
            <w:pPr>
              <w:autoSpaceDN w:val="0"/>
              <w:spacing w:line="320" w:lineRule="exact"/>
              <w:jc w:val="left"/>
              <w:textAlignment w:val="center"/>
              <w:rPr>
                <w:rFonts w:ascii="仿宋_GB2312" w:hAnsi="仿宋_GB2312" w:eastAsia="仿宋_GB2312" w:cs="仿宋_GB2312"/>
                <w:color w:val="000000"/>
                <w:sz w:val="24"/>
              </w:rPr>
            </w:pPr>
          </w:p>
        </w:tc>
      </w:tr>
      <w:tr w14:paraId="288AE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vAlign w:val="center"/>
          </w:tcPr>
          <w:p w14:paraId="2A0C230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14:paraId="15408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6F6455D2">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03" w:type="dxa"/>
            <w:vMerge w:val="restart"/>
            <w:tcBorders>
              <w:right w:val="single" w:color="auto" w:sz="4" w:space="0"/>
            </w:tcBorders>
            <w:vAlign w:val="center"/>
          </w:tcPr>
          <w:p w14:paraId="0D5EADD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52" w:type="dxa"/>
            <w:gridSpan w:val="8"/>
            <w:tcBorders>
              <w:left w:val="single" w:color="auto" w:sz="4" w:space="0"/>
              <w:bottom w:val="single" w:color="auto" w:sz="4" w:space="0"/>
              <w:right w:val="single" w:color="auto" w:sz="4" w:space="0"/>
            </w:tcBorders>
            <w:vAlign w:val="center"/>
          </w:tcPr>
          <w:p w14:paraId="361C050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14:paraId="11E8E5A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14:paraId="5CB27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6DBE833A">
            <w:pPr>
              <w:spacing w:line="320" w:lineRule="exact"/>
              <w:jc w:val="center"/>
              <w:rPr>
                <w:rFonts w:ascii="仿宋_GB2312" w:hAnsi="仿宋_GB2312" w:eastAsia="仿宋_GB2312" w:cs="仿宋_GB2312"/>
                <w:sz w:val="24"/>
              </w:rPr>
            </w:pPr>
          </w:p>
        </w:tc>
        <w:tc>
          <w:tcPr>
            <w:tcW w:w="1103" w:type="dxa"/>
            <w:vMerge w:val="continue"/>
            <w:tcBorders>
              <w:right w:val="single" w:color="auto" w:sz="4" w:space="0"/>
            </w:tcBorders>
            <w:vAlign w:val="center"/>
          </w:tcPr>
          <w:p w14:paraId="7FBE083B">
            <w:pPr>
              <w:autoSpaceDN w:val="0"/>
              <w:spacing w:line="320" w:lineRule="exact"/>
              <w:jc w:val="center"/>
              <w:textAlignment w:val="center"/>
              <w:rPr>
                <w:rFonts w:ascii="仿宋_GB2312" w:hAnsi="仿宋_GB2312" w:eastAsia="仿宋_GB2312" w:cs="仿宋_GB2312"/>
                <w:color w:val="000000"/>
                <w:sz w:val="24"/>
              </w:rPr>
            </w:pPr>
          </w:p>
        </w:tc>
        <w:tc>
          <w:tcPr>
            <w:tcW w:w="1332" w:type="dxa"/>
            <w:gridSpan w:val="2"/>
            <w:vMerge w:val="restart"/>
            <w:tcBorders>
              <w:top w:val="single" w:color="auto" w:sz="4" w:space="0"/>
              <w:left w:val="single" w:color="auto" w:sz="4" w:space="0"/>
            </w:tcBorders>
            <w:vAlign w:val="center"/>
          </w:tcPr>
          <w:p w14:paraId="2FB1E33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tcBorders>
            <w:vAlign w:val="center"/>
          </w:tcPr>
          <w:p w14:paraId="3EA3DDA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14:paraId="705A850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14:paraId="13C225D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14:paraId="69BE368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14:paraId="30DDE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37666726">
            <w:pPr>
              <w:spacing w:line="320" w:lineRule="exact"/>
              <w:jc w:val="center"/>
              <w:rPr>
                <w:rFonts w:ascii="仿宋_GB2312" w:hAnsi="仿宋_GB2312" w:eastAsia="仿宋_GB2312" w:cs="仿宋_GB2312"/>
                <w:sz w:val="24"/>
              </w:rPr>
            </w:pPr>
          </w:p>
        </w:tc>
        <w:tc>
          <w:tcPr>
            <w:tcW w:w="1103" w:type="dxa"/>
            <w:vMerge w:val="continue"/>
            <w:tcBorders>
              <w:right w:val="single" w:color="auto" w:sz="4" w:space="0"/>
            </w:tcBorders>
            <w:vAlign w:val="center"/>
          </w:tcPr>
          <w:p w14:paraId="3A4BE878">
            <w:pPr>
              <w:autoSpaceDN w:val="0"/>
              <w:spacing w:line="320" w:lineRule="exact"/>
              <w:jc w:val="center"/>
              <w:textAlignment w:val="center"/>
              <w:rPr>
                <w:rFonts w:ascii="仿宋_GB2312" w:hAnsi="仿宋_GB2312" w:eastAsia="仿宋_GB2312" w:cs="仿宋_GB2312"/>
                <w:color w:val="000000"/>
                <w:sz w:val="24"/>
              </w:rPr>
            </w:pPr>
          </w:p>
        </w:tc>
        <w:tc>
          <w:tcPr>
            <w:tcW w:w="1332" w:type="dxa"/>
            <w:gridSpan w:val="2"/>
            <w:vMerge w:val="continue"/>
            <w:tcBorders>
              <w:left w:val="single" w:color="auto" w:sz="4" w:space="0"/>
            </w:tcBorders>
            <w:vAlign w:val="center"/>
          </w:tcPr>
          <w:p w14:paraId="7E6FC78A">
            <w:pPr>
              <w:autoSpaceDN w:val="0"/>
              <w:spacing w:line="320" w:lineRule="exact"/>
              <w:jc w:val="center"/>
              <w:textAlignment w:val="center"/>
              <w:rPr>
                <w:rFonts w:ascii="仿宋_GB2312" w:hAnsi="仿宋_GB2312" w:eastAsia="仿宋_GB2312" w:cs="仿宋_GB2312"/>
                <w:color w:val="000000"/>
                <w:sz w:val="24"/>
              </w:rPr>
            </w:pPr>
          </w:p>
        </w:tc>
        <w:tc>
          <w:tcPr>
            <w:tcW w:w="1170" w:type="dxa"/>
            <w:gridSpan w:val="2"/>
            <w:vAlign w:val="center"/>
          </w:tcPr>
          <w:p w14:paraId="46A3A93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070" w:type="dxa"/>
            <w:gridSpan w:val="3"/>
            <w:vAlign w:val="center"/>
          </w:tcPr>
          <w:p w14:paraId="556BB8F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14:paraId="27C54561">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14:paraId="6F21A8C0">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14:paraId="68038DAE">
            <w:pPr>
              <w:autoSpaceDN w:val="0"/>
              <w:spacing w:line="320" w:lineRule="exact"/>
              <w:jc w:val="center"/>
              <w:textAlignment w:val="center"/>
              <w:rPr>
                <w:rFonts w:ascii="仿宋_GB2312" w:hAnsi="仿宋_GB2312" w:eastAsia="仿宋_GB2312" w:cs="仿宋_GB2312"/>
                <w:color w:val="000000"/>
                <w:sz w:val="24"/>
              </w:rPr>
            </w:pPr>
          </w:p>
        </w:tc>
      </w:tr>
      <w:tr w14:paraId="379F3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14:paraId="5EBFB56E">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03" w:type="dxa"/>
            <w:tcBorders>
              <w:right w:val="single" w:color="auto" w:sz="4" w:space="0"/>
            </w:tcBorders>
            <w:vAlign w:val="center"/>
          </w:tcPr>
          <w:p w14:paraId="7B3CC8E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2167.29</w:t>
            </w:r>
          </w:p>
        </w:tc>
        <w:tc>
          <w:tcPr>
            <w:tcW w:w="1332" w:type="dxa"/>
            <w:gridSpan w:val="2"/>
            <w:tcBorders>
              <w:left w:val="single" w:color="auto" w:sz="4" w:space="0"/>
            </w:tcBorders>
            <w:vAlign w:val="center"/>
          </w:tcPr>
          <w:p w14:paraId="6020D5A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304.19</w:t>
            </w:r>
          </w:p>
        </w:tc>
        <w:tc>
          <w:tcPr>
            <w:tcW w:w="1170" w:type="dxa"/>
            <w:gridSpan w:val="2"/>
            <w:vAlign w:val="center"/>
          </w:tcPr>
          <w:p w14:paraId="4210582C">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147.94</w:t>
            </w:r>
          </w:p>
        </w:tc>
        <w:tc>
          <w:tcPr>
            <w:tcW w:w="2070" w:type="dxa"/>
            <w:gridSpan w:val="3"/>
            <w:vAlign w:val="center"/>
          </w:tcPr>
          <w:p w14:paraId="3B6DF13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156.24</w:t>
            </w:r>
          </w:p>
        </w:tc>
        <w:tc>
          <w:tcPr>
            <w:tcW w:w="1080" w:type="dxa"/>
            <w:vAlign w:val="center"/>
          </w:tcPr>
          <w:p w14:paraId="27110132">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1863.10</w:t>
            </w:r>
          </w:p>
        </w:tc>
        <w:tc>
          <w:tcPr>
            <w:tcW w:w="720" w:type="dxa"/>
            <w:gridSpan w:val="3"/>
            <w:tcBorders>
              <w:right w:val="single" w:color="auto" w:sz="4" w:space="0"/>
            </w:tcBorders>
            <w:vAlign w:val="center"/>
          </w:tcPr>
          <w:p w14:paraId="41CF1EA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11.23</w:t>
            </w:r>
          </w:p>
        </w:tc>
        <w:tc>
          <w:tcPr>
            <w:tcW w:w="625" w:type="dxa"/>
            <w:tcBorders>
              <w:left w:val="single" w:color="auto" w:sz="4" w:space="0"/>
            </w:tcBorders>
            <w:vAlign w:val="center"/>
          </w:tcPr>
          <w:p w14:paraId="03DB2FAE">
            <w:pPr>
              <w:autoSpaceDN w:val="0"/>
              <w:spacing w:line="320" w:lineRule="exact"/>
              <w:jc w:val="center"/>
              <w:textAlignment w:val="center"/>
              <w:rPr>
                <w:rFonts w:ascii="仿宋_GB2312" w:hAnsi="仿宋_GB2312" w:eastAsia="仿宋_GB2312" w:cs="仿宋_GB2312"/>
                <w:color w:val="000000"/>
                <w:sz w:val="24"/>
              </w:rPr>
            </w:pPr>
          </w:p>
        </w:tc>
      </w:tr>
      <w:tr w14:paraId="71933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070F74BB">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103" w:type="dxa"/>
            <w:tcBorders>
              <w:right w:val="single" w:color="auto" w:sz="4" w:space="0"/>
            </w:tcBorders>
            <w:vAlign w:val="center"/>
          </w:tcPr>
          <w:p w14:paraId="70AC936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2167.29</w:t>
            </w:r>
          </w:p>
        </w:tc>
        <w:tc>
          <w:tcPr>
            <w:tcW w:w="1332" w:type="dxa"/>
            <w:gridSpan w:val="2"/>
            <w:tcBorders>
              <w:left w:val="single" w:color="auto" w:sz="4" w:space="0"/>
            </w:tcBorders>
            <w:vAlign w:val="center"/>
          </w:tcPr>
          <w:p w14:paraId="209D27B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304.19</w:t>
            </w:r>
          </w:p>
        </w:tc>
        <w:tc>
          <w:tcPr>
            <w:tcW w:w="1170" w:type="dxa"/>
            <w:gridSpan w:val="2"/>
            <w:vAlign w:val="center"/>
          </w:tcPr>
          <w:p w14:paraId="1C8221C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147.94</w:t>
            </w:r>
          </w:p>
        </w:tc>
        <w:tc>
          <w:tcPr>
            <w:tcW w:w="2070" w:type="dxa"/>
            <w:gridSpan w:val="3"/>
            <w:vAlign w:val="center"/>
          </w:tcPr>
          <w:p w14:paraId="36793DA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156.24</w:t>
            </w:r>
          </w:p>
        </w:tc>
        <w:tc>
          <w:tcPr>
            <w:tcW w:w="1080" w:type="dxa"/>
            <w:vAlign w:val="center"/>
          </w:tcPr>
          <w:p w14:paraId="712369EB">
            <w:pPr>
              <w:autoSpaceDN w:val="0"/>
              <w:spacing w:line="32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1863.10</w:t>
            </w:r>
          </w:p>
        </w:tc>
        <w:tc>
          <w:tcPr>
            <w:tcW w:w="720" w:type="dxa"/>
            <w:gridSpan w:val="3"/>
            <w:tcBorders>
              <w:right w:val="single" w:color="auto" w:sz="4" w:space="0"/>
            </w:tcBorders>
            <w:vAlign w:val="center"/>
          </w:tcPr>
          <w:p w14:paraId="6E6ECCF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11.23</w:t>
            </w:r>
          </w:p>
        </w:tc>
        <w:tc>
          <w:tcPr>
            <w:tcW w:w="625" w:type="dxa"/>
            <w:tcBorders>
              <w:left w:val="single" w:color="auto" w:sz="4" w:space="0"/>
            </w:tcBorders>
            <w:vAlign w:val="center"/>
          </w:tcPr>
          <w:p w14:paraId="2F92BE71">
            <w:pPr>
              <w:autoSpaceDN w:val="0"/>
              <w:spacing w:line="320" w:lineRule="exact"/>
              <w:jc w:val="center"/>
              <w:textAlignment w:val="center"/>
              <w:rPr>
                <w:rFonts w:ascii="仿宋_GB2312" w:hAnsi="仿宋_GB2312" w:eastAsia="仿宋_GB2312" w:cs="仿宋_GB2312"/>
                <w:color w:val="000000"/>
                <w:sz w:val="24"/>
              </w:rPr>
            </w:pPr>
          </w:p>
        </w:tc>
      </w:tr>
      <w:tr w14:paraId="76661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14E70C5B">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103" w:type="dxa"/>
            <w:tcBorders>
              <w:right w:val="single" w:color="auto" w:sz="4" w:space="0"/>
            </w:tcBorders>
            <w:vAlign w:val="center"/>
          </w:tcPr>
          <w:p w14:paraId="5264F6D3">
            <w:pPr>
              <w:autoSpaceDN w:val="0"/>
              <w:spacing w:line="320" w:lineRule="exact"/>
              <w:jc w:val="center"/>
              <w:textAlignment w:val="center"/>
              <w:rPr>
                <w:rFonts w:ascii="仿宋_GB2312" w:hAnsi="仿宋_GB2312" w:eastAsia="仿宋_GB2312" w:cs="仿宋_GB2312"/>
                <w:color w:val="000000"/>
                <w:sz w:val="24"/>
              </w:rPr>
            </w:pPr>
          </w:p>
        </w:tc>
        <w:tc>
          <w:tcPr>
            <w:tcW w:w="1332" w:type="dxa"/>
            <w:gridSpan w:val="2"/>
            <w:tcBorders>
              <w:left w:val="single" w:color="auto" w:sz="4" w:space="0"/>
            </w:tcBorders>
            <w:vAlign w:val="center"/>
          </w:tcPr>
          <w:p w14:paraId="7E67FD17">
            <w:pPr>
              <w:autoSpaceDN w:val="0"/>
              <w:spacing w:line="320" w:lineRule="exact"/>
              <w:jc w:val="center"/>
              <w:textAlignment w:val="center"/>
              <w:rPr>
                <w:rFonts w:ascii="仿宋_GB2312" w:hAnsi="仿宋_GB2312" w:eastAsia="仿宋_GB2312" w:cs="仿宋_GB2312"/>
                <w:color w:val="000000"/>
                <w:sz w:val="24"/>
              </w:rPr>
            </w:pPr>
          </w:p>
        </w:tc>
        <w:tc>
          <w:tcPr>
            <w:tcW w:w="1170" w:type="dxa"/>
            <w:gridSpan w:val="2"/>
            <w:vAlign w:val="center"/>
          </w:tcPr>
          <w:p w14:paraId="063EE8E1">
            <w:pPr>
              <w:autoSpaceDN w:val="0"/>
              <w:spacing w:line="320" w:lineRule="exact"/>
              <w:jc w:val="center"/>
              <w:textAlignment w:val="center"/>
              <w:rPr>
                <w:rFonts w:ascii="仿宋_GB2312" w:hAnsi="仿宋_GB2312" w:eastAsia="仿宋_GB2312" w:cs="仿宋_GB2312"/>
                <w:color w:val="000000"/>
                <w:sz w:val="24"/>
              </w:rPr>
            </w:pPr>
          </w:p>
        </w:tc>
        <w:tc>
          <w:tcPr>
            <w:tcW w:w="2070" w:type="dxa"/>
            <w:gridSpan w:val="3"/>
            <w:vAlign w:val="center"/>
          </w:tcPr>
          <w:p w14:paraId="67DABF9C">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14:paraId="2575B46E">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14:paraId="6F41D45F">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3339EEAA">
            <w:pPr>
              <w:autoSpaceDN w:val="0"/>
              <w:spacing w:line="320" w:lineRule="exact"/>
              <w:jc w:val="center"/>
              <w:textAlignment w:val="center"/>
              <w:rPr>
                <w:rFonts w:ascii="仿宋_GB2312" w:hAnsi="仿宋_GB2312" w:eastAsia="仿宋_GB2312" w:cs="仿宋_GB2312"/>
                <w:color w:val="000000"/>
                <w:sz w:val="24"/>
              </w:rPr>
            </w:pPr>
          </w:p>
        </w:tc>
      </w:tr>
      <w:tr w14:paraId="55C85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7934298D">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103" w:type="dxa"/>
            <w:tcBorders>
              <w:right w:val="single" w:color="auto" w:sz="4" w:space="0"/>
            </w:tcBorders>
            <w:vAlign w:val="center"/>
          </w:tcPr>
          <w:p w14:paraId="45DB78CA">
            <w:pPr>
              <w:autoSpaceDN w:val="0"/>
              <w:spacing w:line="320" w:lineRule="exact"/>
              <w:jc w:val="center"/>
              <w:textAlignment w:val="center"/>
              <w:rPr>
                <w:rFonts w:ascii="仿宋_GB2312" w:hAnsi="仿宋_GB2312" w:eastAsia="仿宋_GB2312" w:cs="仿宋_GB2312"/>
                <w:color w:val="000000"/>
                <w:sz w:val="24"/>
              </w:rPr>
            </w:pPr>
          </w:p>
        </w:tc>
        <w:tc>
          <w:tcPr>
            <w:tcW w:w="1332" w:type="dxa"/>
            <w:gridSpan w:val="2"/>
            <w:tcBorders>
              <w:left w:val="single" w:color="auto" w:sz="4" w:space="0"/>
            </w:tcBorders>
            <w:vAlign w:val="center"/>
          </w:tcPr>
          <w:p w14:paraId="6D0205F6">
            <w:pPr>
              <w:autoSpaceDN w:val="0"/>
              <w:spacing w:line="320" w:lineRule="exact"/>
              <w:jc w:val="center"/>
              <w:textAlignment w:val="center"/>
              <w:rPr>
                <w:rFonts w:ascii="仿宋_GB2312" w:hAnsi="仿宋_GB2312" w:eastAsia="仿宋_GB2312" w:cs="仿宋_GB2312"/>
                <w:color w:val="000000"/>
                <w:sz w:val="24"/>
              </w:rPr>
            </w:pPr>
          </w:p>
        </w:tc>
        <w:tc>
          <w:tcPr>
            <w:tcW w:w="1170" w:type="dxa"/>
            <w:gridSpan w:val="2"/>
            <w:vAlign w:val="center"/>
          </w:tcPr>
          <w:p w14:paraId="76022F14">
            <w:pPr>
              <w:autoSpaceDN w:val="0"/>
              <w:spacing w:line="320" w:lineRule="exact"/>
              <w:jc w:val="center"/>
              <w:textAlignment w:val="center"/>
              <w:rPr>
                <w:rFonts w:ascii="仿宋_GB2312" w:hAnsi="仿宋_GB2312" w:eastAsia="仿宋_GB2312" w:cs="仿宋_GB2312"/>
                <w:color w:val="000000"/>
                <w:sz w:val="24"/>
              </w:rPr>
            </w:pPr>
          </w:p>
        </w:tc>
        <w:tc>
          <w:tcPr>
            <w:tcW w:w="2070" w:type="dxa"/>
            <w:gridSpan w:val="3"/>
            <w:vAlign w:val="center"/>
          </w:tcPr>
          <w:p w14:paraId="6312D986">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14:paraId="2899B961">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14:paraId="3E792D7E">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14:paraId="35A88B77">
            <w:pPr>
              <w:autoSpaceDN w:val="0"/>
              <w:spacing w:line="320" w:lineRule="exact"/>
              <w:jc w:val="center"/>
              <w:textAlignment w:val="center"/>
              <w:rPr>
                <w:rFonts w:ascii="仿宋_GB2312" w:hAnsi="仿宋_GB2312" w:eastAsia="仿宋_GB2312" w:cs="仿宋_GB2312"/>
                <w:color w:val="000000"/>
                <w:sz w:val="24"/>
              </w:rPr>
            </w:pPr>
          </w:p>
        </w:tc>
      </w:tr>
      <w:tr w14:paraId="4DE1B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311AD3F5">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03" w:type="dxa"/>
            <w:vMerge w:val="restart"/>
            <w:tcBorders>
              <w:right w:val="single" w:color="auto" w:sz="4" w:space="0"/>
            </w:tcBorders>
            <w:vAlign w:val="center"/>
          </w:tcPr>
          <w:p w14:paraId="62727D1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6763926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997" w:type="dxa"/>
            <w:gridSpan w:val="12"/>
            <w:tcBorders>
              <w:left w:val="single" w:color="auto" w:sz="4" w:space="0"/>
            </w:tcBorders>
            <w:vAlign w:val="center"/>
          </w:tcPr>
          <w:p w14:paraId="4EE3DC1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47A9A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06967FC7">
            <w:pPr>
              <w:spacing w:line="320" w:lineRule="exact"/>
              <w:jc w:val="center"/>
              <w:rPr>
                <w:rFonts w:ascii="仿宋_GB2312" w:hAnsi="仿宋_GB2312" w:eastAsia="仿宋_GB2312" w:cs="仿宋_GB2312"/>
                <w:sz w:val="24"/>
              </w:rPr>
            </w:pPr>
          </w:p>
        </w:tc>
        <w:tc>
          <w:tcPr>
            <w:tcW w:w="1103" w:type="dxa"/>
            <w:vMerge w:val="continue"/>
            <w:tcBorders>
              <w:right w:val="single" w:color="auto" w:sz="4" w:space="0"/>
            </w:tcBorders>
            <w:vAlign w:val="center"/>
          </w:tcPr>
          <w:p w14:paraId="5E5358E7">
            <w:pPr>
              <w:autoSpaceDN w:val="0"/>
              <w:spacing w:line="320" w:lineRule="exact"/>
              <w:jc w:val="center"/>
              <w:textAlignment w:val="center"/>
              <w:rPr>
                <w:rFonts w:ascii="仿宋_GB2312" w:hAnsi="仿宋_GB2312" w:eastAsia="仿宋_GB2312" w:cs="仿宋_GB2312"/>
                <w:color w:val="000000"/>
                <w:sz w:val="24"/>
              </w:rPr>
            </w:pPr>
          </w:p>
        </w:tc>
        <w:tc>
          <w:tcPr>
            <w:tcW w:w="1332" w:type="dxa"/>
            <w:gridSpan w:val="2"/>
            <w:tcBorders>
              <w:left w:val="single" w:color="auto" w:sz="4" w:space="0"/>
            </w:tcBorders>
            <w:vAlign w:val="center"/>
          </w:tcPr>
          <w:p w14:paraId="78F52E1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170" w:type="dxa"/>
            <w:gridSpan w:val="2"/>
            <w:vAlign w:val="center"/>
          </w:tcPr>
          <w:p w14:paraId="7B1E1B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070" w:type="dxa"/>
            <w:gridSpan w:val="3"/>
            <w:vAlign w:val="center"/>
          </w:tcPr>
          <w:p w14:paraId="5886BD6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14:paraId="6E9B119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722D6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14:paraId="72F8563A">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03" w:type="dxa"/>
            <w:tcBorders>
              <w:right w:val="single" w:color="auto" w:sz="4" w:space="0"/>
            </w:tcBorders>
            <w:vAlign w:val="center"/>
          </w:tcPr>
          <w:p w14:paraId="0A1407E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2.74</w:t>
            </w:r>
          </w:p>
        </w:tc>
        <w:tc>
          <w:tcPr>
            <w:tcW w:w="1332" w:type="dxa"/>
            <w:gridSpan w:val="2"/>
            <w:tcBorders>
              <w:left w:val="single" w:color="auto" w:sz="4" w:space="0"/>
            </w:tcBorders>
            <w:vAlign w:val="center"/>
          </w:tcPr>
          <w:p w14:paraId="397C6F9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2.74</w:t>
            </w:r>
          </w:p>
        </w:tc>
        <w:tc>
          <w:tcPr>
            <w:tcW w:w="1170" w:type="dxa"/>
            <w:gridSpan w:val="2"/>
            <w:vAlign w:val="center"/>
          </w:tcPr>
          <w:p w14:paraId="0B8F9B8E">
            <w:pPr>
              <w:autoSpaceDN w:val="0"/>
              <w:spacing w:line="320" w:lineRule="exact"/>
              <w:jc w:val="center"/>
              <w:textAlignment w:val="center"/>
              <w:rPr>
                <w:rFonts w:ascii="仿宋_GB2312" w:hAnsi="仿宋_GB2312" w:eastAsia="仿宋_GB2312" w:cs="仿宋_GB2312"/>
                <w:color w:val="000000"/>
                <w:sz w:val="24"/>
              </w:rPr>
            </w:pPr>
          </w:p>
        </w:tc>
        <w:tc>
          <w:tcPr>
            <w:tcW w:w="2070" w:type="dxa"/>
            <w:gridSpan w:val="3"/>
            <w:vAlign w:val="center"/>
          </w:tcPr>
          <w:p w14:paraId="251836E1">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434299EC">
            <w:pPr>
              <w:autoSpaceDN w:val="0"/>
              <w:spacing w:line="320" w:lineRule="exact"/>
              <w:jc w:val="center"/>
              <w:textAlignment w:val="center"/>
              <w:rPr>
                <w:rFonts w:ascii="仿宋_GB2312" w:hAnsi="仿宋_GB2312" w:eastAsia="仿宋_GB2312" w:cs="仿宋_GB2312"/>
                <w:color w:val="000000"/>
                <w:sz w:val="24"/>
              </w:rPr>
            </w:pPr>
          </w:p>
        </w:tc>
      </w:tr>
      <w:tr w14:paraId="55CD3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1D25F869">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103" w:type="dxa"/>
            <w:tcBorders>
              <w:right w:val="single" w:color="auto" w:sz="4" w:space="0"/>
            </w:tcBorders>
            <w:vAlign w:val="center"/>
          </w:tcPr>
          <w:p w14:paraId="177C9F37">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2.74</w:t>
            </w:r>
          </w:p>
        </w:tc>
        <w:tc>
          <w:tcPr>
            <w:tcW w:w="1332" w:type="dxa"/>
            <w:gridSpan w:val="2"/>
            <w:tcBorders>
              <w:left w:val="single" w:color="auto" w:sz="4" w:space="0"/>
            </w:tcBorders>
            <w:vAlign w:val="center"/>
          </w:tcPr>
          <w:p w14:paraId="5B8D79E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2.74</w:t>
            </w:r>
          </w:p>
        </w:tc>
        <w:tc>
          <w:tcPr>
            <w:tcW w:w="1170" w:type="dxa"/>
            <w:gridSpan w:val="2"/>
            <w:vAlign w:val="center"/>
          </w:tcPr>
          <w:p w14:paraId="28813B60">
            <w:pPr>
              <w:autoSpaceDN w:val="0"/>
              <w:spacing w:line="320" w:lineRule="exact"/>
              <w:jc w:val="center"/>
              <w:textAlignment w:val="center"/>
              <w:rPr>
                <w:rFonts w:ascii="仿宋_GB2312" w:hAnsi="仿宋_GB2312" w:eastAsia="仿宋_GB2312" w:cs="仿宋_GB2312"/>
                <w:color w:val="000000"/>
                <w:sz w:val="24"/>
              </w:rPr>
            </w:pPr>
          </w:p>
        </w:tc>
        <w:tc>
          <w:tcPr>
            <w:tcW w:w="2070" w:type="dxa"/>
            <w:gridSpan w:val="3"/>
            <w:vAlign w:val="center"/>
          </w:tcPr>
          <w:p w14:paraId="2EB8B66C">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1CAE770C">
            <w:pPr>
              <w:autoSpaceDN w:val="0"/>
              <w:spacing w:line="320" w:lineRule="exact"/>
              <w:jc w:val="center"/>
              <w:textAlignment w:val="center"/>
              <w:rPr>
                <w:rFonts w:ascii="仿宋_GB2312" w:hAnsi="仿宋_GB2312" w:eastAsia="仿宋_GB2312" w:cs="仿宋_GB2312"/>
                <w:color w:val="000000"/>
                <w:sz w:val="24"/>
              </w:rPr>
            </w:pPr>
          </w:p>
        </w:tc>
      </w:tr>
      <w:tr w14:paraId="39374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40A4A4DE">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103" w:type="dxa"/>
            <w:tcBorders>
              <w:right w:val="single" w:color="auto" w:sz="4" w:space="0"/>
            </w:tcBorders>
            <w:vAlign w:val="center"/>
          </w:tcPr>
          <w:p w14:paraId="63378593">
            <w:pPr>
              <w:autoSpaceDN w:val="0"/>
              <w:spacing w:line="320" w:lineRule="exact"/>
              <w:jc w:val="center"/>
              <w:textAlignment w:val="center"/>
              <w:rPr>
                <w:rFonts w:ascii="仿宋_GB2312" w:hAnsi="仿宋_GB2312" w:eastAsia="仿宋_GB2312" w:cs="仿宋_GB2312"/>
                <w:color w:val="000000"/>
                <w:sz w:val="24"/>
              </w:rPr>
            </w:pPr>
          </w:p>
        </w:tc>
        <w:tc>
          <w:tcPr>
            <w:tcW w:w="1332" w:type="dxa"/>
            <w:gridSpan w:val="2"/>
            <w:tcBorders>
              <w:left w:val="single" w:color="auto" w:sz="4" w:space="0"/>
            </w:tcBorders>
            <w:vAlign w:val="center"/>
          </w:tcPr>
          <w:p w14:paraId="345ACE9F">
            <w:pPr>
              <w:autoSpaceDN w:val="0"/>
              <w:spacing w:line="320" w:lineRule="exact"/>
              <w:jc w:val="center"/>
              <w:textAlignment w:val="center"/>
              <w:rPr>
                <w:rFonts w:ascii="仿宋_GB2312" w:hAnsi="仿宋_GB2312" w:eastAsia="仿宋_GB2312" w:cs="仿宋_GB2312"/>
                <w:color w:val="000000"/>
                <w:sz w:val="24"/>
              </w:rPr>
            </w:pPr>
          </w:p>
        </w:tc>
        <w:tc>
          <w:tcPr>
            <w:tcW w:w="1170" w:type="dxa"/>
            <w:gridSpan w:val="2"/>
            <w:vAlign w:val="center"/>
          </w:tcPr>
          <w:p w14:paraId="2D8EDE84">
            <w:pPr>
              <w:autoSpaceDN w:val="0"/>
              <w:spacing w:line="320" w:lineRule="exact"/>
              <w:jc w:val="center"/>
              <w:textAlignment w:val="center"/>
              <w:rPr>
                <w:rFonts w:ascii="仿宋_GB2312" w:hAnsi="仿宋_GB2312" w:eastAsia="仿宋_GB2312" w:cs="仿宋_GB2312"/>
                <w:color w:val="000000"/>
                <w:sz w:val="24"/>
              </w:rPr>
            </w:pPr>
          </w:p>
        </w:tc>
        <w:tc>
          <w:tcPr>
            <w:tcW w:w="2070" w:type="dxa"/>
            <w:gridSpan w:val="3"/>
            <w:vAlign w:val="center"/>
          </w:tcPr>
          <w:p w14:paraId="5BAD075A">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199B55D1">
            <w:pPr>
              <w:autoSpaceDN w:val="0"/>
              <w:spacing w:line="320" w:lineRule="exact"/>
              <w:jc w:val="center"/>
              <w:textAlignment w:val="center"/>
              <w:rPr>
                <w:rFonts w:ascii="仿宋_GB2312" w:hAnsi="仿宋_GB2312" w:eastAsia="仿宋_GB2312" w:cs="仿宋_GB2312"/>
                <w:color w:val="000000"/>
                <w:sz w:val="24"/>
              </w:rPr>
            </w:pPr>
          </w:p>
        </w:tc>
      </w:tr>
      <w:tr w14:paraId="7483F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35F93F7F">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103" w:type="dxa"/>
            <w:tcBorders>
              <w:right w:val="single" w:color="auto" w:sz="4" w:space="0"/>
            </w:tcBorders>
            <w:vAlign w:val="center"/>
          </w:tcPr>
          <w:p w14:paraId="0C15E1FC">
            <w:pPr>
              <w:autoSpaceDN w:val="0"/>
              <w:spacing w:line="320" w:lineRule="exact"/>
              <w:jc w:val="center"/>
              <w:textAlignment w:val="center"/>
              <w:rPr>
                <w:rFonts w:ascii="仿宋_GB2312" w:hAnsi="仿宋_GB2312" w:eastAsia="仿宋_GB2312" w:cs="仿宋_GB2312"/>
                <w:color w:val="000000"/>
                <w:sz w:val="24"/>
              </w:rPr>
            </w:pPr>
          </w:p>
        </w:tc>
        <w:tc>
          <w:tcPr>
            <w:tcW w:w="1332" w:type="dxa"/>
            <w:gridSpan w:val="2"/>
            <w:tcBorders>
              <w:left w:val="single" w:color="auto" w:sz="4" w:space="0"/>
            </w:tcBorders>
            <w:vAlign w:val="center"/>
          </w:tcPr>
          <w:p w14:paraId="50BDCB25">
            <w:pPr>
              <w:autoSpaceDN w:val="0"/>
              <w:spacing w:line="320" w:lineRule="exact"/>
              <w:jc w:val="center"/>
              <w:textAlignment w:val="center"/>
              <w:rPr>
                <w:rFonts w:ascii="仿宋_GB2312" w:hAnsi="仿宋_GB2312" w:eastAsia="仿宋_GB2312" w:cs="仿宋_GB2312"/>
                <w:color w:val="000000"/>
                <w:sz w:val="24"/>
              </w:rPr>
            </w:pPr>
          </w:p>
        </w:tc>
        <w:tc>
          <w:tcPr>
            <w:tcW w:w="1170" w:type="dxa"/>
            <w:gridSpan w:val="2"/>
            <w:vAlign w:val="center"/>
          </w:tcPr>
          <w:p w14:paraId="6780291A">
            <w:pPr>
              <w:autoSpaceDN w:val="0"/>
              <w:spacing w:line="320" w:lineRule="exact"/>
              <w:jc w:val="center"/>
              <w:textAlignment w:val="center"/>
              <w:rPr>
                <w:rFonts w:ascii="仿宋_GB2312" w:hAnsi="仿宋_GB2312" w:eastAsia="仿宋_GB2312" w:cs="仿宋_GB2312"/>
                <w:color w:val="000000"/>
                <w:sz w:val="24"/>
              </w:rPr>
            </w:pPr>
          </w:p>
        </w:tc>
        <w:tc>
          <w:tcPr>
            <w:tcW w:w="2070" w:type="dxa"/>
            <w:gridSpan w:val="3"/>
            <w:vAlign w:val="center"/>
          </w:tcPr>
          <w:p w14:paraId="1B9AAF93">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14:paraId="7B2CCD51">
            <w:pPr>
              <w:autoSpaceDN w:val="0"/>
              <w:spacing w:line="320" w:lineRule="exact"/>
              <w:jc w:val="center"/>
              <w:textAlignment w:val="center"/>
              <w:rPr>
                <w:rFonts w:ascii="仿宋_GB2312" w:hAnsi="仿宋_GB2312" w:eastAsia="仿宋_GB2312" w:cs="仿宋_GB2312"/>
                <w:color w:val="000000"/>
                <w:sz w:val="24"/>
              </w:rPr>
            </w:pPr>
          </w:p>
        </w:tc>
      </w:tr>
      <w:tr w14:paraId="18E5D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14:paraId="49B9D2A0">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103" w:type="dxa"/>
            <w:vMerge w:val="restart"/>
            <w:tcBorders>
              <w:right w:val="single" w:color="auto" w:sz="4" w:space="0"/>
            </w:tcBorders>
            <w:vAlign w:val="center"/>
          </w:tcPr>
          <w:p w14:paraId="45BB06D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2048917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56" w:type="dxa"/>
            <w:gridSpan w:val="10"/>
            <w:tcBorders>
              <w:left w:val="single" w:color="auto" w:sz="4" w:space="0"/>
              <w:right w:val="single" w:color="auto" w:sz="4" w:space="0"/>
            </w:tcBorders>
            <w:vAlign w:val="center"/>
          </w:tcPr>
          <w:p w14:paraId="2EA5D36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14:paraId="315750C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15138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14:paraId="5FDC84AC">
            <w:pPr>
              <w:spacing w:line="320" w:lineRule="exact"/>
              <w:jc w:val="center"/>
              <w:rPr>
                <w:rFonts w:ascii="仿宋_GB2312" w:hAnsi="仿宋_GB2312" w:eastAsia="仿宋_GB2312" w:cs="仿宋_GB2312"/>
                <w:sz w:val="24"/>
              </w:rPr>
            </w:pPr>
          </w:p>
        </w:tc>
        <w:tc>
          <w:tcPr>
            <w:tcW w:w="1103" w:type="dxa"/>
            <w:vMerge w:val="continue"/>
            <w:tcBorders>
              <w:right w:val="single" w:color="auto" w:sz="4" w:space="0"/>
            </w:tcBorders>
            <w:vAlign w:val="center"/>
          </w:tcPr>
          <w:p w14:paraId="4CE0A0FE">
            <w:pPr>
              <w:autoSpaceDN w:val="0"/>
              <w:spacing w:line="320" w:lineRule="exact"/>
              <w:jc w:val="center"/>
              <w:textAlignment w:val="center"/>
              <w:rPr>
                <w:rFonts w:ascii="仿宋_GB2312" w:hAnsi="仿宋_GB2312" w:eastAsia="仿宋_GB2312" w:cs="仿宋_GB2312"/>
                <w:color w:val="000000"/>
                <w:sz w:val="24"/>
              </w:rPr>
            </w:pPr>
          </w:p>
        </w:tc>
        <w:tc>
          <w:tcPr>
            <w:tcW w:w="2502" w:type="dxa"/>
            <w:gridSpan w:val="4"/>
            <w:tcBorders>
              <w:left w:val="single" w:color="auto" w:sz="4" w:space="0"/>
            </w:tcBorders>
            <w:vAlign w:val="center"/>
          </w:tcPr>
          <w:p w14:paraId="32EE713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554" w:type="dxa"/>
            <w:gridSpan w:val="6"/>
            <w:tcBorders>
              <w:right w:val="single" w:color="auto" w:sz="4" w:space="0"/>
            </w:tcBorders>
            <w:vAlign w:val="center"/>
          </w:tcPr>
          <w:p w14:paraId="366D1A4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14:paraId="4EDD1AD3">
            <w:pPr>
              <w:autoSpaceDN w:val="0"/>
              <w:spacing w:line="320" w:lineRule="exact"/>
              <w:jc w:val="center"/>
              <w:textAlignment w:val="center"/>
              <w:rPr>
                <w:rFonts w:ascii="仿宋_GB2312" w:hAnsi="仿宋_GB2312" w:eastAsia="仿宋_GB2312" w:cs="仿宋_GB2312"/>
                <w:color w:val="000000"/>
                <w:sz w:val="24"/>
              </w:rPr>
            </w:pPr>
          </w:p>
        </w:tc>
      </w:tr>
      <w:tr w14:paraId="542EB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14:paraId="4B63CDDD">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03" w:type="dxa"/>
            <w:tcBorders>
              <w:right w:val="single" w:color="auto" w:sz="4" w:space="0"/>
            </w:tcBorders>
            <w:vAlign w:val="center"/>
          </w:tcPr>
          <w:p w14:paraId="7A2C27E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31.10</w:t>
            </w:r>
          </w:p>
        </w:tc>
        <w:tc>
          <w:tcPr>
            <w:tcW w:w="2502" w:type="dxa"/>
            <w:gridSpan w:val="4"/>
            <w:tcBorders>
              <w:left w:val="single" w:color="auto" w:sz="4" w:space="0"/>
            </w:tcBorders>
            <w:vAlign w:val="center"/>
          </w:tcPr>
          <w:p w14:paraId="24D3543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31.10</w:t>
            </w:r>
          </w:p>
        </w:tc>
        <w:tc>
          <w:tcPr>
            <w:tcW w:w="3554" w:type="dxa"/>
            <w:gridSpan w:val="6"/>
            <w:vAlign w:val="center"/>
          </w:tcPr>
          <w:p w14:paraId="042EC274">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036C862E">
            <w:pPr>
              <w:autoSpaceDN w:val="0"/>
              <w:spacing w:line="320" w:lineRule="exact"/>
              <w:jc w:val="center"/>
              <w:textAlignment w:val="center"/>
              <w:rPr>
                <w:rFonts w:ascii="仿宋_GB2312" w:hAnsi="仿宋_GB2312" w:eastAsia="仿宋_GB2312" w:cs="仿宋_GB2312"/>
                <w:color w:val="000000"/>
                <w:sz w:val="24"/>
              </w:rPr>
            </w:pPr>
          </w:p>
        </w:tc>
      </w:tr>
      <w:tr w14:paraId="7E021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0790AC7B">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103" w:type="dxa"/>
            <w:tcBorders>
              <w:right w:val="single" w:color="auto" w:sz="4" w:space="0"/>
            </w:tcBorders>
            <w:vAlign w:val="center"/>
          </w:tcPr>
          <w:p w14:paraId="762871C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31.10</w:t>
            </w:r>
          </w:p>
        </w:tc>
        <w:tc>
          <w:tcPr>
            <w:tcW w:w="2502" w:type="dxa"/>
            <w:gridSpan w:val="4"/>
            <w:tcBorders>
              <w:left w:val="single" w:color="auto" w:sz="4" w:space="0"/>
            </w:tcBorders>
            <w:vAlign w:val="center"/>
          </w:tcPr>
          <w:p w14:paraId="5D5BFB5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31.10</w:t>
            </w:r>
          </w:p>
        </w:tc>
        <w:tc>
          <w:tcPr>
            <w:tcW w:w="3554" w:type="dxa"/>
            <w:gridSpan w:val="6"/>
            <w:vAlign w:val="center"/>
          </w:tcPr>
          <w:p w14:paraId="15EE326A">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0321C329">
            <w:pPr>
              <w:autoSpaceDN w:val="0"/>
              <w:spacing w:line="320" w:lineRule="exact"/>
              <w:jc w:val="center"/>
              <w:textAlignment w:val="center"/>
              <w:rPr>
                <w:rFonts w:ascii="仿宋_GB2312" w:hAnsi="仿宋_GB2312" w:eastAsia="仿宋_GB2312" w:cs="仿宋_GB2312"/>
                <w:color w:val="000000"/>
                <w:sz w:val="24"/>
              </w:rPr>
            </w:pPr>
          </w:p>
        </w:tc>
      </w:tr>
      <w:tr w14:paraId="2EDCA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448DECB5">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103" w:type="dxa"/>
            <w:tcBorders>
              <w:right w:val="single" w:color="auto" w:sz="4" w:space="0"/>
            </w:tcBorders>
            <w:vAlign w:val="center"/>
          </w:tcPr>
          <w:p w14:paraId="61C3193D">
            <w:pPr>
              <w:autoSpaceDN w:val="0"/>
              <w:spacing w:line="320" w:lineRule="exact"/>
              <w:jc w:val="center"/>
              <w:textAlignment w:val="center"/>
              <w:rPr>
                <w:rFonts w:ascii="仿宋_GB2312" w:hAnsi="仿宋_GB2312" w:eastAsia="仿宋_GB2312" w:cs="仿宋_GB2312"/>
                <w:color w:val="000000"/>
                <w:sz w:val="24"/>
              </w:rPr>
            </w:pPr>
          </w:p>
        </w:tc>
        <w:tc>
          <w:tcPr>
            <w:tcW w:w="2502" w:type="dxa"/>
            <w:gridSpan w:val="4"/>
            <w:tcBorders>
              <w:left w:val="single" w:color="auto" w:sz="4" w:space="0"/>
            </w:tcBorders>
            <w:vAlign w:val="center"/>
          </w:tcPr>
          <w:p w14:paraId="4F364AEE">
            <w:pPr>
              <w:autoSpaceDN w:val="0"/>
              <w:spacing w:line="320" w:lineRule="exact"/>
              <w:jc w:val="center"/>
              <w:textAlignment w:val="center"/>
              <w:rPr>
                <w:rFonts w:ascii="仿宋_GB2312" w:hAnsi="仿宋_GB2312" w:eastAsia="仿宋_GB2312" w:cs="仿宋_GB2312"/>
                <w:color w:val="000000"/>
                <w:sz w:val="24"/>
              </w:rPr>
            </w:pPr>
          </w:p>
        </w:tc>
        <w:tc>
          <w:tcPr>
            <w:tcW w:w="3554" w:type="dxa"/>
            <w:gridSpan w:val="6"/>
            <w:vAlign w:val="center"/>
          </w:tcPr>
          <w:p w14:paraId="09493273">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11A3EBC2">
            <w:pPr>
              <w:autoSpaceDN w:val="0"/>
              <w:spacing w:line="320" w:lineRule="exact"/>
              <w:jc w:val="center"/>
              <w:textAlignment w:val="center"/>
              <w:rPr>
                <w:rFonts w:ascii="仿宋_GB2312" w:hAnsi="仿宋_GB2312" w:eastAsia="仿宋_GB2312" w:cs="仿宋_GB2312"/>
                <w:color w:val="000000"/>
                <w:sz w:val="24"/>
              </w:rPr>
            </w:pPr>
          </w:p>
        </w:tc>
      </w:tr>
      <w:tr w14:paraId="444F6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14:paraId="51207597">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103" w:type="dxa"/>
            <w:tcBorders>
              <w:right w:val="single" w:color="auto" w:sz="4" w:space="0"/>
            </w:tcBorders>
            <w:vAlign w:val="center"/>
          </w:tcPr>
          <w:p w14:paraId="100E34D0">
            <w:pPr>
              <w:autoSpaceDN w:val="0"/>
              <w:spacing w:line="320" w:lineRule="exact"/>
              <w:jc w:val="center"/>
              <w:textAlignment w:val="center"/>
              <w:rPr>
                <w:rFonts w:ascii="仿宋_GB2312" w:hAnsi="仿宋_GB2312" w:eastAsia="仿宋_GB2312" w:cs="仿宋_GB2312"/>
                <w:color w:val="000000"/>
                <w:sz w:val="24"/>
              </w:rPr>
            </w:pPr>
          </w:p>
        </w:tc>
        <w:tc>
          <w:tcPr>
            <w:tcW w:w="2502" w:type="dxa"/>
            <w:gridSpan w:val="4"/>
            <w:tcBorders>
              <w:left w:val="single" w:color="auto" w:sz="4" w:space="0"/>
            </w:tcBorders>
            <w:vAlign w:val="center"/>
          </w:tcPr>
          <w:p w14:paraId="45427DF9">
            <w:pPr>
              <w:autoSpaceDN w:val="0"/>
              <w:spacing w:line="320" w:lineRule="exact"/>
              <w:jc w:val="center"/>
              <w:textAlignment w:val="center"/>
              <w:rPr>
                <w:rFonts w:ascii="仿宋_GB2312" w:hAnsi="仿宋_GB2312" w:eastAsia="仿宋_GB2312" w:cs="仿宋_GB2312"/>
                <w:color w:val="000000"/>
                <w:sz w:val="24"/>
              </w:rPr>
            </w:pPr>
          </w:p>
        </w:tc>
        <w:tc>
          <w:tcPr>
            <w:tcW w:w="3554" w:type="dxa"/>
            <w:gridSpan w:val="6"/>
            <w:vAlign w:val="center"/>
          </w:tcPr>
          <w:p w14:paraId="0DA79CF2">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14:paraId="65C3F83E">
            <w:pPr>
              <w:autoSpaceDN w:val="0"/>
              <w:spacing w:line="320" w:lineRule="exact"/>
              <w:jc w:val="center"/>
              <w:textAlignment w:val="center"/>
              <w:rPr>
                <w:rFonts w:ascii="仿宋_GB2312" w:hAnsi="仿宋_GB2312" w:eastAsia="仿宋_GB2312" w:cs="仿宋_GB2312"/>
                <w:color w:val="000000"/>
                <w:sz w:val="24"/>
              </w:rPr>
            </w:pPr>
          </w:p>
        </w:tc>
      </w:tr>
      <w:tr w14:paraId="7025A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14:paraId="6B4ADC04">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14:paraId="430C9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571CAF5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864" w:type="dxa"/>
            <w:gridSpan w:val="7"/>
            <w:vAlign w:val="center"/>
          </w:tcPr>
          <w:p w14:paraId="2B2D350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495" w:type="dxa"/>
            <w:gridSpan w:val="8"/>
            <w:vAlign w:val="center"/>
          </w:tcPr>
          <w:p w14:paraId="665E734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22552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14:paraId="0DC2A4E5">
            <w:pPr>
              <w:spacing w:line="320" w:lineRule="exact"/>
              <w:rPr>
                <w:rFonts w:ascii="仿宋_GB2312" w:hAnsi="仿宋_GB2312" w:eastAsia="仿宋_GB2312" w:cs="仿宋_GB2312"/>
                <w:sz w:val="24"/>
              </w:rPr>
            </w:pPr>
          </w:p>
        </w:tc>
        <w:tc>
          <w:tcPr>
            <w:tcW w:w="3864" w:type="dxa"/>
            <w:gridSpan w:val="7"/>
            <w:vAlign w:val="center"/>
          </w:tcPr>
          <w:p w14:paraId="0B5F1DFE">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目标1：实现退役军人三级服务体系全覆盖。</w:t>
            </w:r>
          </w:p>
          <w:p w14:paraId="22EA3109">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目标2：严格落实各项优抚安置政策。</w:t>
            </w:r>
          </w:p>
          <w:p w14:paraId="770ACE6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目标3：积极开展拥军优抚活动。</w:t>
            </w:r>
          </w:p>
        </w:tc>
        <w:tc>
          <w:tcPr>
            <w:tcW w:w="4495" w:type="dxa"/>
            <w:gridSpan w:val="8"/>
            <w:vAlign w:val="center"/>
          </w:tcPr>
          <w:p w14:paraId="4B693A02">
            <w:pPr>
              <w:pStyle w:val="11"/>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完善了工作流程，制订了《君山区退役军人服务中心（站）服务规范》</w:t>
            </w:r>
          </w:p>
          <w:p w14:paraId="1A083CB9">
            <w:pPr>
              <w:pStyle w:val="11"/>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加强组织领导，明确工作职责，加大双拥工作宣传力度，积极推进军民融合式发展。</w:t>
            </w:r>
          </w:p>
          <w:p w14:paraId="0954ACCE">
            <w:pPr>
              <w:pStyle w:val="11"/>
              <w:numPr>
                <w:ilvl w:val="0"/>
                <w:numId w:val="1"/>
              </w:numPr>
              <w:autoSpaceDN w:val="0"/>
              <w:spacing w:line="320" w:lineRule="exact"/>
              <w:ind w:firstLineChars="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春节期间开展走访慰问活动，让退役军人感受到党和政府的温暖。</w:t>
            </w:r>
          </w:p>
        </w:tc>
      </w:tr>
      <w:tr w14:paraId="772ED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14:paraId="4BBDBD1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3F31EC3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14:paraId="05529D9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3"/>
            <w:vAlign w:val="center"/>
          </w:tcPr>
          <w:p w14:paraId="2E46C11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14:paraId="68297F3B">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0EC13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7A74A50">
            <w:pPr>
              <w:spacing w:line="320" w:lineRule="exact"/>
              <w:rPr>
                <w:rFonts w:ascii="仿宋_GB2312" w:hAnsi="仿宋_GB2312" w:eastAsia="仿宋_GB2312" w:cs="仿宋_GB2312"/>
                <w:sz w:val="24"/>
              </w:rPr>
            </w:pPr>
          </w:p>
        </w:tc>
        <w:tc>
          <w:tcPr>
            <w:tcW w:w="1549" w:type="dxa"/>
            <w:gridSpan w:val="4"/>
            <w:vMerge w:val="restart"/>
            <w:vAlign w:val="center"/>
          </w:tcPr>
          <w:p w14:paraId="0F503CF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28D7F20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vAlign w:val="center"/>
          </w:tcPr>
          <w:p w14:paraId="5287C3A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3"/>
            <w:vAlign w:val="center"/>
          </w:tcPr>
          <w:p w14:paraId="5C16B19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指标1：强化理论学习，加强思想政治年建设</w:t>
            </w:r>
          </w:p>
        </w:tc>
        <w:tc>
          <w:tcPr>
            <w:tcW w:w="2684" w:type="dxa"/>
            <w:gridSpan w:val="6"/>
            <w:vAlign w:val="center"/>
          </w:tcPr>
          <w:p w14:paraId="4C057FB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每日进行排名，学时事学政治，提升整体的政治素养。</w:t>
            </w:r>
          </w:p>
        </w:tc>
      </w:tr>
      <w:tr w14:paraId="3A074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6FF772DE">
            <w:pPr>
              <w:spacing w:line="320" w:lineRule="exact"/>
              <w:rPr>
                <w:rFonts w:ascii="仿宋_GB2312" w:hAnsi="仿宋_GB2312" w:eastAsia="仿宋_GB2312" w:cs="仿宋_GB2312"/>
                <w:sz w:val="24"/>
              </w:rPr>
            </w:pPr>
          </w:p>
        </w:tc>
        <w:tc>
          <w:tcPr>
            <w:tcW w:w="1549" w:type="dxa"/>
            <w:gridSpan w:val="4"/>
            <w:vMerge w:val="continue"/>
            <w:vAlign w:val="center"/>
          </w:tcPr>
          <w:p w14:paraId="7ACC6204">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7A19B303">
            <w:pPr>
              <w:spacing w:line="320" w:lineRule="exact"/>
              <w:rPr>
                <w:rFonts w:ascii="仿宋_GB2312" w:hAnsi="仿宋_GB2312" w:eastAsia="仿宋_GB2312" w:cs="仿宋_GB2312"/>
                <w:sz w:val="24"/>
              </w:rPr>
            </w:pPr>
          </w:p>
        </w:tc>
        <w:tc>
          <w:tcPr>
            <w:tcW w:w="2709" w:type="dxa"/>
            <w:gridSpan w:val="3"/>
            <w:vAlign w:val="center"/>
          </w:tcPr>
          <w:p w14:paraId="5206766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指标2：健全服务保障体系，完善基层基础基本年建设</w:t>
            </w:r>
          </w:p>
        </w:tc>
        <w:tc>
          <w:tcPr>
            <w:tcW w:w="2684" w:type="dxa"/>
            <w:gridSpan w:val="6"/>
            <w:vAlign w:val="center"/>
          </w:tcPr>
          <w:p w14:paraId="3B2B1378">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已完成建设。</w:t>
            </w:r>
          </w:p>
        </w:tc>
      </w:tr>
      <w:tr w14:paraId="0FBBD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2C514FD">
            <w:pPr>
              <w:spacing w:line="320" w:lineRule="exact"/>
              <w:rPr>
                <w:rFonts w:ascii="仿宋_GB2312" w:hAnsi="仿宋_GB2312" w:eastAsia="仿宋_GB2312" w:cs="仿宋_GB2312"/>
                <w:sz w:val="24"/>
              </w:rPr>
            </w:pPr>
          </w:p>
        </w:tc>
        <w:tc>
          <w:tcPr>
            <w:tcW w:w="1549" w:type="dxa"/>
            <w:gridSpan w:val="4"/>
            <w:vMerge w:val="continue"/>
            <w:vAlign w:val="center"/>
          </w:tcPr>
          <w:p w14:paraId="037AA517">
            <w:pPr>
              <w:autoSpaceDN w:val="0"/>
              <w:spacing w:line="320" w:lineRule="exact"/>
              <w:rPr>
                <w:rFonts w:ascii="仿宋_GB2312" w:hAnsi="仿宋_GB2312" w:eastAsia="仿宋_GB2312" w:cs="仿宋_GB2312"/>
                <w:sz w:val="24"/>
              </w:rPr>
            </w:pPr>
          </w:p>
        </w:tc>
        <w:tc>
          <w:tcPr>
            <w:tcW w:w="1417" w:type="dxa"/>
            <w:gridSpan w:val="2"/>
            <w:vMerge w:val="restart"/>
            <w:vAlign w:val="center"/>
          </w:tcPr>
          <w:p w14:paraId="3C7706E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3"/>
            <w:vAlign w:val="center"/>
          </w:tcPr>
          <w:p w14:paraId="75FF5117">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指标1：继续推进部分退役士兵社保接续工作</w:t>
            </w:r>
          </w:p>
        </w:tc>
        <w:tc>
          <w:tcPr>
            <w:tcW w:w="2684" w:type="dxa"/>
            <w:gridSpan w:val="6"/>
            <w:vAlign w:val="center"/>
          </w:tcPr>
          <w:p w14:paraId="4DA9917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已核查57份,其中困难人员确认1人。</w:t>
            </w:r>
          </w:p>
        </w:tc>
      </w:tr>
      <w:tr w14:paraId="686A6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14:paraId="6123D57C">
            <w:pPr>
              <w:spacing w:line="320" w:lineRule="exact"/>
              <w:rPr>
                <w:rFonts w:ascii="仿宋_GB2312" w:hAnsi="仿宋_GB2312" w:eastAsia="仿宋_GB2312" w:cs="仿宋_GB2312"/>
                <w:sz w:val="24"/>
              </w:rPr>
            </w:pPr>
          </w:p>
        </w:tc>
        <w:tc>
          <w:tcPr>
            <w:tcW w:w="1549" w:type="dxa"/>
            <w:gridSpan w:val="4"/>
            <w:vMerge w:val="continue"/>
            <w:vAlign w:val="center"/>
          </w:tcPr>
          <w:p w14:paraId="19A61A80">
            <w:pPr>
              <w:autoSpaceDN w:val="0"/>
              <w:spacing w:line="320" w:lineRule="exact"/>
              <w:rPr>
                <w:rFonts w:ascii="仿宋_GB2312" w:hAnsi="仿宋_GB2312" w:eastAsia="仿宋_GB2312" w:cs="仿宋_GB2312"/>
                <w:sz w:val="24"/>
              </w:rPr>
            </w:pPr>
          </w:p>
        </w:tc>
        <w:tc>
          <w:tcPr>
            <w:tcW w:w="1417" w:type="dxa"/>
            <w:gridSpan w:val="2"/>
            <w:vMerge w:val="continue"/>
            <w:vAlign w:val="center"/>
          </w:tcPr>
          <w:p w14:paraId="25A18BA1">
            <w:pPr>
              <w:autoSpaceDN w:val="0"/>
              <w:spacing w:line="320" w:lineRule="exact"/>
              <w:jc w:val="center"/>
              <w:textAlignment w:val="center"/>
              <w:rPr>
                <w:rFonts w:ascii="仿宋_GB2312" w:hAnsi="仿宋_GB2312" w:eastAsia="仿宋_GB2312" w:cs="仿宋_GB2312"/>
                <w:sz w:val="24"/>
              </w:rPr>
            </w:pPr>
          </w:p>
        </w:tc>
        <w:tc>
          <w:tcPr>
            <w:tcW w:w="2709" w:type="dxa"/>
            <w:gridSpan w:val="3"/>
            <w:vAlign w:val="center"/>
          </w:tcPr>
          <w:p w14:paraId="6FDD1971">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指标2：认真做好涉军信访工作。</w:t>
            </w:r>
          </w:p>
        </w:tc>
        <w:tc>
          <w:tcPr>
            <w:tcW w:w="2684" w:type="dxa"/>
            <w:gridSpan w:val="6"/>
            <w:vAlign w:val="center"/>
          </w:tcPr>
          <w:p w14:paraId="6540B44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共接待来访人员156批235人次。</w:t>
            </w:r>
          </w:p>
        </w:tc>
      </w:tr>
      <w:tr w14:paraId="468DC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5C8E673F">
            <w:pPr>
              <w:spacing w:line="320" w:lineRule="exact"/>
              <w:rPr>
                <w:rFonts w:ascii="仿宋_GB2312" w:hAnsi="仿宋_GB2312" w:eastAsia="仿宋_GB2312" w:cs="仿宋_GB2312"/>
                <w:sz w:val="24"/>
              </w:rPr>
            </w:pPr>
          </w:p>
        </w:tc>
        <w:tc>
          <w:tcPr>
            <w:tcW w:w="1549" w:type="dxa"/>
            <w:gridSpan w:val="4"/>
            <w:vMerge w:val="continue"/>
            <w:vAlign w:val="center"/>
          </w:tcPr>
          <w:p w14:paraId="4F89627F">
            <w:pPr>
              <w:autoSpaceDN w:val="0"/>
              <w:spacing w:line="320" w:lineRule="exact"/>
              <w:rPr>
                <w:rFonts w:ascii="仿宋_GB2312" w:hAnsi="仿宋_GB2312" w:eastAsia="仿宋_GB2312" w:cs="仿宋_GB2312"/>
                <w:sz w:val="24"/>
              </w:rPr>
            </w:pPr>
          </w:p>
        </w:tc>
        <w:tc>
          <w:tcPr>
            <w:tcW w:w="1417" w:type="dxa"/>
            <w:gridSpan w:val="2"/>
            <w:vAlign w:val="center"/>
          </w:tcPr>
          <w:p w14:paraId="55CF3CF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3"/>
            <w:vAlign w:val="center"/>
          </w:tcPr>
          <w:p w14:paraId="2066327A">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指标：搭建线上线下双平台，助力退役军人群体稳就业。</w:t>
            </w:r>
          </w:p>
        </w:tc>
        <w:tc>
          <w:tcPr>
            <w:tcW w:w="2684" w:type="dxa"/>
            <w:gridSpan w:val="6"/>
            <w:vAlign w:val="center"/>
          </w:tcPr>
          <w:p w14:paraId="64D4059E">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带领有意应聘的退役军人参加了3月1-5日的君山工业园现场招聘。</w:t>
            </w:r>
          </w:p>
        </w:tc>
      </w:tr>
      <w:tr w14:paraId="77A7C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34" w:hRule="atLeast"/>
          <w:jc w:val="center"/>
        </w:trPr>
        <w:tc>
          <w:tcPr>
            <w:tcW w:w="1441" w:type="dxa"/>
            <w:vMerge w:val="continue"/>
            <w:vAlign w:val="center"/>
          </w:tcPr>
          <w:p w14:paraId="59A82B3E">
            <w:pPr>
              <w:spacing w:line="320" w:lineRule="exact"/>
              <w:rPr>
                <w:rFonts w:ascii="仿宋_GB2312" w:hAnsi="仿宋_GB2312" w:eastAsia="仿宋_GB2312" w:cs="仿宋_GB2312"/>
                <w:sz w:val="24"/>
              </w:rPr>
            </w:pPr>
          </w:p>
        </w:tc>
        <w:tc>
          <w:tcPr>
            <w:tcW w:w="1549" w:type="dxa"/>
            <w:gridSpan w:val="4"/>
            <w:vMerge w:val="continue"/>
            <w:vAlign w:val="center"/>
          </w:tcPr>
          <w:p w14:paraId="3CA367E7">
            <w:pPr>
              <w:autoSpaceDN w:val="0"/>
              <w:spacing w:line="320" w:lineRule="exact"/>
              <w:rPr>
                <w:rFonts w:ascii="仿宋_GB2312" w:hAnsi="仿宋_GB2312" w:eastAsia="仿宋_GB2312" w:cs="仿宋_GB2312"/>
                <w:sz w:val="24"/>
              </w:rPr>
            </w:pPr>
          </w:p>
        </w:tc>
        <w:tc>
          <w:tcPr>
            <w:tcW w:w="1417" w:type="dxa"/>
            <w:gridSpan w:val="2"/>
            <w:vAlign w:val="center"/>
          </w:tcPr>
          <w:p w14:paraId="2891E3D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3"/>
            <w:vAlign w:val="center"/>
          </w:tcPr>
          <w:p w14:paraId="5ED061F5">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控制项目资金的用途和支出。</w:t>
            </w:r>
          </w:p>
        </w:tc>
        <w:tc>
          <w:tcPr>
            <w:tcW w:w="2684" w:type="dxa"/>
            <w:gridSpan w:val="6"/>
            <w:vAlign w:val="center"/>
          </w:tcPr>
          <w:p w14:paraId="303062A5">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项目支出控制在预算范围内</w:t>
            </w:r>
          </w:p>
        </w:tc>
      </w:tr>
      <w:tr w14:paraId="32310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207EB7EC">
            <w:pPr>
              <w:spacing w:line="320" w:lineRule="exact"/>
              <w:rPr>
                <w:rFonts w:ascii="仿宋_GB2312" w:hAnsi="仿宋_GB2312" w:eastAsia="仿宋_GB2312" w:cs="仿宋_GB2312"/>
                <w:sz w:val="24"/>
              </w:rPr>
            </w:pPr>
          </w:p>
        </w:tc>
        <w:tc>
          <w:tcPr>
            <w:tcW w:w="1549" w:type="dxa"/>
            <w:gridSpan w:val="4"/>
            <w:vMerge w:val="restart"/>
            <w:vAlign w:val="center"/>
          </w:tcPr>
          <w:p w14:paraId="3242DFB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325F959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14:paraId="1E8397F4">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3"/>
            <w:vAlign w:val="center"/>
          </w:tcPr>
          <w:p w14:paraId="7B0DA83F">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指标1：全力投入防控新冠肺炎疫情阻击战。</w:t>
            </w:r>
          </w:p>
          <w:p w14:paraId="2340C67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指标2：组织“春风”行动招聘会</w:t>
            </w:r>
          </w:p>
        </w:tc>
        <w:tc>
          <w:tcPr>
            <w:tcW w:w="2684" w:type="dxa"/>
            <w:gridSpan w:val="6"/>
            <w:vAlign w:val="center"/>
          </w:tcPr>
          <w:p w14:paraId="095758E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安排四名干部值班值守。</w:t>
            </w:r>
          </w:p>
          <w:p w14:paraId="2790E122">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积极安排退役军人就业。</w:t>
            </w:r>
          </w:p>
        </w:tc>
      </w:tr>
      <w:tr w14:paraId="33EC8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7046B944">
            <w:pPr>
              <w:spacing w:line="320" w:lineRule="exact"/>
              <w:rPr>
                <w:rFonts w:ascii="仿宋_GB2312" w:hAnsi="仿宋_GB2312" w:eastAsia="仿宋_GB2312" w:cs="仿宋_GB2312"/>
                <w:sz w:val="24"/>
              </w:rPr>
            </w:pPr>
          </w:p>
        </w:tc>
        <w:tc>
          <w:tcPr>
            <w:tcW w:w="1549" w:type="dxa"/>
            <w:gridSpan w:val="4"/>
            <w:vMerge w:val="continue"/>
            <w:vAlign w:val="center"/>
          </w:tcPr>
          <w:p w14:paraId="5C15BDD8">
            <w:pPr>
              <w:autoSpaceDN w:val="0"/>
              <w:spacing w:line="320" w:lineRule="exact"/>
              <w:rPr>
                <w:rFonts w:ascii="仿宋_GB2312" w:hAnsi="仿宋_GB2312" w:eastAsia="仿宋_GB2312" w:cs="仿宋_GB2312"/>
                <w:sz w:val="24"/>
              </w:rPr>
            </w:pPr>
          </w:p>
        </w:tc>
        <w:tc>
          <w:tcPr>
            <w:tcW w:w="1417" w:type="dxa"/>
            <w:gridSpan w:val="2"/>
            <w:vAlign w:val="center"/>
          </w:tcPr>
          <w:p w14:paraId="39E2595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3"/>
            <w:vAlign w:val="center"/>
          </w:tcPr>
          <w:p w14:paraId="3655635B">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指标：积极组织疫情捐款</w:t>
            </w:r>
          </w:p>
        </w:tc>
        <w:tc>
          <w:tcPr>
            <w:tcW w:w="2684" w:type="dxa"/>
            <w:gridSpan w:val="6"/>
            <w:vAlign w:val="center"/>
          </w:tcPr>
          <w:p w14:paraId="66959BCC">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收到善款近4万元，已转交区慈善总会</w:t>
            </w:r>
          </w:p>
        </w:tc>
      </w:tr>
      <w:tr w14:paraId="4D207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145A166F">
            <w:pPr>
              <w:spacing w:line="320" w:lineRule="exact"/>
              <w:rPr>
                <w:rFonts w:ascii="仿宋_GB2312" w:hAnsi="仿宋_GB2312" w:eastAsia="仿宋_GB2312" w:cs="仿宋_GB2312"/>
                <w:sz w:val="24"/>
              </w:rPr>
            </w:pPr>
          </w:p>
        </w:tc>
        <w:tc>
          <w:tcPr>
            <w:tcW w:w="1549" w:type="dxa"/>
            <w:gridSpan w:val="4"/>
            <w:vMerge w:val="continue"/>
            <w:vAlign w:val="center"/>
          </w:tcPr>
          <w:p w14:paraId="6A0094D7">
            <w:pPr>
              <w:autoSpaceDN w:val="0"/>
              <w:spacing w:line="320" w:lineRule="exact"/>
              <w:rPr>
                <w:rFonts w:ascii="仿宋_GB2312" w:hAnsi="仿宋_GB2312" w:eastAsia="仿宋_GB2312" w:cs="仿宋_GB2312"/>
                <w:sz w:val="24"/>
              </w:rPr>
            </w:pPr>
          </w:p>
        </w:tc>
        <w:tc>
          <w:tcPr>
            <w:tcW w:w="1417" w:type="dxa"/>
            <w:gridSpan w:val="2"/>
            <w:vAlign w:val="center"/>
          </w:tcPr>
          <w:p w14:paraId="4D9B56DD">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3"/>
            <w:vAlign w:val="center"/>
          </w:tcPr>
          <w:p w14:paraId="1D171FC6">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指标：项目建设过程中提高环境保护和生态平衡方面的意识。</w:t>
            </w:r>
          </w:p>
        </w:tc>
        <w:tc>
          <w:tcPr>
            <w:tcW w:w="2684" w:type="dxa"/>
            <w:gridSpan w:val="6"/>
            <w:vAlign w:val="center"/>
          </w:tcPr>
          <w:p w14:paraId="5F73461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已达目标</w:t>
            </w:r>
          </w:p>
        </w:tc>
      </w:tr>
      <w:tr w14:paraId="1DE62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14:paraId="211086C6">
            <w:pPr>
              <w:spacing w:line="320" w:lineRule="exact"/>
              <w:rPr>
                <w:rFonts w:ascii="仿宋_GB2312" w:hAnsi="仿宋_GB2312" w:eastAsia="仿宋_GB2312" w:cs="仿宋_GB2312"/>
                <w:sz w:val="24"/>
              </w:rPr>
            </w:pPr>
          </w:p>
        </w:tc>
        <w:tc>
          <w:tcPr>
            <w:tcW w:w="1549" w:type="dxa"/>
            <w:gridSpan w:val="4"/>
            <w:vMerge w:val="continue"/>
            <w:vAlign w:val="center"/>
          </w:tcPr>
          <w:p w14:paraId="3E3ECD1D">
            <w:pPr>
              <w:autoSpaceDN w:val="0"/>
              <w:spacing w:line="320" w:lineRule="exact"/>
              <w:rPr>
                <w:rFonts w:ascii="仿宋_GB2312" w:hAnsi="仿宋_GB2312" w:eastAsia="仿宋_GB2312" w:cs="仿宋_GB2312"/>
                <w:sz w:val="24"/>
              </w:rPr>
            </w:pPr>
          </w:p>
        </w:tc>
        <w:tc>
          <w:tcPr>
            <w:tcW w:w="1417" w:type="dxa"/>
            <w:gridSpan w:val="2"/>
            <w:vAlign w:val="center"/>
          </w:tcPr>
          <w:p w14:paraId="0A8B476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3"/>
            <w:vAlign w:val="center"/>
          </w:tcPr>
          <w:p w14:paraId="63EB96E2">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指标1：优抚对象的满意度90%以上。</w:t>
            </w:r>
          </w:p>
          <w:p w14:paraId="7D87692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指标2：群众满意度90%以上。</w:t>
            </w:r>
          </w:p>
        </w:tc>
        <w:tc>
          <w:tcPr>
            <w:tcW w:w="2684" w:type="dxa"/>
            <w:gridSpan w:val="6"/>
            <w:vAlign w:val="center"/>
          </w:tcPr>
          <w:p w14:paraId="0C229E6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优抚对象满意度96%。</w:t>
            </w:r>
          </w:p>
          <w:p w14:paraId="710F5256">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群众满意度95%。</w:t>
            </w:r>
          </w:p>
        </w:tc>
      </w:tr>
      <w:tr w14:paraId="61F6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5B0F06AF">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1"/>
            <w:vAlign w:val="center"/>
          </w:tcPr>
          <w:p w14:paraId="367B1435">
            <w:pPr>
              <w:autoSpaceDN w:val="0"/>
              <w:spacing w:line="320" w:lineRule="exact"/>
              <w:ind w:firstLine="3343" w:firstLineChars="1393"/>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14:paraId="1FCB7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14:paraId="7120BFC6">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1"/>
            <w:vAlign w:val="center"/>
          </w:tcPr>
          <w:p w14:paraId="40FB426A">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14:paraId="7AD90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vAlign w:val="center"/>
          </w:tcPr>
          <w:p w14:paraId="7118A73A">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14:paraId="44AD2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14:paraId="7D800AE9">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651" w:type="dxa"/>
            <w:gridSpan w:val="6"/>
            <w:vAlign w:val="center"/>
          </w:tcPr>
          <w:p w14:paraId="4EACAC30">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811" w:type="dxa"/>
            <w:gridSpan w:val="2"/>
            <w:vAlign w:val="center"/>
          </w:tcPr>
          <w:p w14:paraId="13576003">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684" w:type="dxa"/>
            <w:gridSpan w:val="6"/>
            <w:vAlign w:val="center"/>
          </w:tcPr>
          <w:p w14:paraId="23E8E161">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52C82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65BB78A8">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王威</w:t>
            </w:r>
          </w:p>
        </w:tc>
        <w:tc>
          <w:tcPr>
            <w:tcW w:w="3651" w:type="dxa"/>
            <w:gridSpan w:val="6"/>
            <w:vAlign w:val="center"/>
          </w:tcPr>
          <w:p w14:paraId="61850F04">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局长</w:t>
            </w:r>
          </w:p>
        </w:tc>
        <w:tc>
          <w:tcPr>
            <w:tcW w:w="1811" w:type="dxa"/>
            <w:gridSpan w:val="2"/>
            <w:vAlign w:val="center"/>
          </w:tcPr>
          <w:p w14:paraId="6C7FD072">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君山区退役军人事务局</w:t>
            </w:r>
          </w:p>
        </w:tc>
        <w:tc>
          <w:tcPr>
            <w:tcW w:w="2684" w:type="dxa"/>
            <w:gridSpan w:val="6"/>
            <w:vAlign w:val="center"/>
          </w:tcPr>
          <w:p w14:paraId="73299A1B">
            <w:pPr>
              <w:autoSpaceDN w:val="0"/>
              <w:spacing w:line="320" w:lineRule="exact"/>
              <w:jc w:val="center"/>
              <w:textAlignment w:val="center"/>
              <w:rPr>
                <w:rFonts w:ascii="仿宋_GB2312" w:hAnsi="仿宋_GB2312" w:eastAsia="仿宋_GB2312" w:cs="仿宋_GB2312"/>
                <w:color w:val="000000"/>
                <w:sz w:val="24"/>
              </w:rPr>
            </w:pPr>
          </w:p>
        </w:tc>
      </w:tr>
      <w:tr w14:paraId="1DC9E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0F6DD2EB">
            <w:pPr>
              <w:autoSpaceDN w:val="0"/>
              <w:spacing w:line="320" w:lineRule="exact"/>
              <w:jc w:val="center"/>
              <w:textAlignment w:val="center"/>
              <w:rPr>
                <w:rFonts w:ascii="仿宋_GB2312" w:hAnsi="仿宋_GB2312" w:eastAsia="仿宋_GB2312" w:cs="仿宋_GB2312"/>
                <w:sz w:val="24"/>
              </w:rPr>
            </w:pPr>
            <w:r>
              <w:rPr>
                <w:rFonts w:ascii="仿宋_GB2312" w:hAnsi="仿宋_GB2312" w:eastAsia="仿宋_GB2312" w:cs="仿宋_GB2312"/>
                <w:sz w:val="24"/>
              </w:rPr>
              <w:t>刘屹</w:t>
            </w:r>
          </w:p>
        </w:tc>
        <w:tc>
          <w:tcPr>
            <w:tcW w:w="3651" w:type="dxa"/>
            <w:gridSpan w:val="6"/>
            <w:vAlign w:val="center"/>
          </w:tcPr>
          <w:p w14:paraId="3996271A">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副局长</w:t>
            </w:r>
          </w:p>
        </w:tc>
        <w:tc>
          <w:tcPr>
            <w:tcW w:w="1811" w:type="dxa"/>
            <w:gridSpan w:val="2"/>
            <w:vAlign w:val="center"/>
          </w:tcPr>
          <w:p w14:paraId="6AB78CE0">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君山区退役军人事务局</w:t>
            </w:r>
          </w:p>
        </w:tc>
        <w:tc>
          <w:tcPr>
            <w:tcW w:w="2684" w:type="dxa"/>
            <w:gridSpan w:val="6"/>
            <w:vAlign w:val="center"/>
          </w:tcPr>
          <w:p w14:paraId="1B2DDE25">
            <w:pPr>
              <w:autoSpaceDN w:val="0"/>
              <w:spacing w:line="320" w:lineRule="exact"/>
              <w:jc w:val="center"/>
              <w:textAlignment w:val="center"/>
              <w:rPr>
                <w:rFonts w:ascii="仿宋_GB2312" w:hAnsi="仿宋_GB2312" w:eastAsia="仿宋_GB2312" w:cs="仿宋_GB2312"/>
                <w:color w:val="000000"/>
                <w:sz w:val="24"/>
              </w:rPr>
            </w:pPr>
          </w:p>
        </w:tc>
      </w:tr>
      <w:tr w14:paraId="7BB27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7F0A1783">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严化思</w:t>
            </w:r>
          </w:p>
        </w:tc>
        <w:tc>
          <w:tcPr>
            <w:tcW w:w="3651" w:type="dxa"/>
            <w:gridSpan w:val="6"/>
            <w:vAlign w:val="center"/>
          </w:tcPr>
          <w:p w14:paraId="7ADC85CE">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会计</w:t>
            </w:r>
          </w:p>
        </w:tc>
        <w:tc>
          <w:tcPr>
            <w:tcW w:w="1811" w:type="dxa"/>
            <w:gridSpan w:val="2"/>
            <w:vAlign w:val="center"/>
          </w:tcPr>
          <w:p w14:paraId="5399EEF4">
            <w:pPr>
              <w:autoSpaceDN w:val="0"/>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君山区退役军人事务局</w:t>
            </w:r>
          </w:p>
        </w:tc>
        <w:tc>
          <w:tcPr>
            <w:tcW w:w="2684" w:type="dxa"/>
            <w:gridSpan w:val="6"/>
            <w:vAlign w:val="center"/>
          </w:tcPr>
          <w:p w14:paraId="3287462B">
            <w:pPr>
              <w:autoSpaceDN w:val="0"/>
              <w:spacing w:line="320" w:lineRule="exact"/>
              <w:jc w:val="center"/>
              <w:textAlignment w:val="center"/>
              <w:rPr>
                <w:rFonts w:ascii="仿宋_GB2312" w:hAnsi="仿宋_GB2312" w:eastAsia="仿宋_GB2312" w:cs="仿宋_GB2312"/>
                <w:color w:val="000000"/>
                <w:sz w:val="24"/>
              </w:rPr>
            </w:pPr>
          </w:p>
        </w:tc>
      </w:tr>
      <w:tr w14:paraId="6B84F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14:paraId="61F8DD5F">
            <w:pPr>
              <w:autoSpaceDN w:val="0"/>
              <w:spacing w:line="320" w:lineRule="exact"/>
              <w:jc w:val="center"/>
              <w:textAlignment w:val="center"/>
              <w:rPr>
                <w:rFonts w:ascii="仿宋_GB2312" w:hAnsi="仿宋_GB2312" w:eastAsia="仿宋_GB2312" w:cs="仿宋_GB2312"/>
                <w:color w:val="000000"/>
                <w:sz w:val="24"/>
              </w:rPr>
            </w:pPr>
          </w:p>
        </w:tc>
        <w:tc>
          <w:tcPr>
            <w:tcW w:w="3651" w:type="dxa"/>
            <w:gridSpan w:val="6"/>
            <w:vAlign w:val="center"/>
          </w:tcPr>
          <w:p w14:paraId="57B597CC">
            <w:pPr>
              <w:autoSpaceDN w:val="0"/>
              <w:spacing w:line="320" w:lineRule="exact"/>
              <w:jc w:val="center"/>
              <w:textAlignment w:val="center"/>
              <w:rPr>
                <w:rFonts w:ascii="仿宋_GB2312" w:hAnsi="仿宋_GB2312" w:eastAsia="仿宋_GB2312" w:cs="仿宋_GB2312"/>
                <w:color w:val="000000"/>
                <w:sz w:val="24"/>
              </w:rPr>
            </w:pPr>
          </w:p>
        </w:tc>
        <w:tc>
          <w:tcPr>
            <w:tcW w:w="1811" w:type="dxa"/>
            <w:gridSpan w:val="2"/>
            <w:vAlign w:val="center"/>
          </w:tcPr>
          <w:p w14:paraId="21709FE8">
            <w:pPr>
              <w:autoSpaceDN w:val="0"/>
              <w:spacing w:line="320" w:lineRule="exact"/>
              <w:jc w:val="center"/>
              <w:textAlignment w:val="center"/>
              <w:rPr>
                <w:rFonts w:ascii="仿宋_GB2312" w:hAnsi="仿宋_GB2312" w:eastAsia="仿宋_GB2312" w:cs="仿宋_GB2312"/>
                <w:color w:val="000000"/>
                <w:sz w:val="24"/>
              </w:rPr>
            </w:pPr>
          </w:p>
        </w:tc>
        <w:tc>
          <w:tcPr>
            <w:tcW w:w="2684" w:type="dxa"/>
            <w:gridSpan w:val="6"/>
            <w:vAlign w:val="center"/>
          </w:tcPr>
          <w:p w14:paraId="0C19AC2D">
            <w:pPr>
              <w:autoSpaceDN w:val="0"/>
              <w:spacing w:line="320" w:lineRule="exact"/>
              <w:jc w:val="center"/>
              <w:textAlignment w:val="center"/>
              <w:rPr>
                <w:rFonts w:ascii="仿宋_GB2312" w:hAnsi="仿宋_GB2312" w:eastAsia="仿宋_GB2312" w:cs="仿宋_GB2312"/>
                <w:color w:val="000000"/>
                <w:sz w:val="24"/>
              </w:rPr>
            </w:pPr>
          </w:p>
        </w:tc>
      </w:tr>
      <w:tr w14:paraId="21B53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14:paraId="01C76B13">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164E4C3D">
            <w:pPr>
              <w:autoSpaceDN w:val="0"/>
              <w:spacing w:line="320" w:lineRule="exact"/>
              <w:jc w:val="left"/>
              <w:textAlignment w:val="center"/>
              <w:rPr>
                <w:rFonts w:ascii="仿宋_GB2312" w:hAnsi="仿宋_GB2312" w:eastAsia="仿宋_GB2312" w:cs="仿宋_GB2312"/>
                <w:color w:val="000000"/>
                <w:sz w:val="24"/>
              </w:rPr>
            </w:pPr>
          </w:p>
          <w:p w14:paraId="425888AB">
            <w:pPr>
              <w:autoSpaceDN w:val="0"/>
              <w:spacing w:line="320" w:lineRule="exact"/>
              <w:jc w:val="left"/>
              <w:textAlignment w:val="center"/>
              <w:rPr>
                <w:rFonts w:ascii="仿宋_GB2312" w:hAnsi="仿宋_GB2312" w:eastAsia="仿宋_GB2312" w:cs="仿宋_GB2312"/>
                <w:color w:val="000000"/>
                <w:sz w:val="24"/>
              </w:rPr>
            </w:pPr>
          </w:p>
          <w:p w14:paraId="7DFA1BF5">
            <w:pPr>
              <w:autoSpaceDN w:val="0"/>
              <w:spacing w:line="320" w:lineRule="exact"/>
              <w:jc w:val="left"/>
              <w:textAlignment w:val="center"/>
              <w:rPr>
                <w:rFonts w:ascii="仿宋_GB2312" w:hAnsi="仿宋_GB2312" w:eastAsia="仿宋_GB2312" w:cs="仿宋_GB2312"/>
                <w:color w:val="000000"/>
                <w:sz w:val="24"/>
              </w:rPr>
            </w:pPr>
          </w:p>
          <w:p w14:paraId="25029FE4">
            <w:pPr>
              <w:autoSpaceDN w:val="0"/>
              <w:spacing w:line="320" w:lineRule="exact"/>
              <w:jc w:val="left"/>
              <w:textAlignment w:val="center"/>
              <w:rPr>
                <w:rFonts w:ascii="仿宋_GB2312" w:hAnsi="仿宋_GB2312" w:eastAsia="仿宋_GB2312" w:cs="仿宋_GB2312"/>
                <w:color w:val="000000"/>
                <w:sz w:val="24"/>
              </w:rPr>
            </w:pPr>
          </w:p>
          <w:p w14:paraId="0C5EE4F3">
            <w:pPr>
              <w:autoSpaceDN w:val="0"/>
              <w:spacing w:line="320" w:lineRule="exact"/>
              <w:jc w:val="left"/>
              <w:textAlignment w:val="center"/>
              <w:rPr>
                <w:rFonts w:ascii="仿宋_GB2312" w:hAnsi="仿宋_GB2312" w:eastAsia="仿宋_GB2312" w:cs="仿宋_GB2312"/>
                <w:color w:val="000000"/>
                <w:sz w:val="24"/>
              </w:rPr>
            </w:pPr>
          </w:p>
          <w:p w14:paraId="05523A74">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06A45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6"/>
            <w:vAlign w:val="center"/>
          </w:tcPr>
          <w:p w14:paraId="4C5C1185">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7749DEB3">
            <w:pPr>
              <w:autoSpaceDN w:val="0"/>
              <w:spacing w:line="320" w:lineRule="exact"/>
              <w:jc w:val="left"/>
              <w:textAlignment w:val="center"/>
              <w:rPr>
                <w:rFonts w:ascii="仿宋_GB2312" w:hAnsi="仿宋_GB2312" w:eastAsia="仿宋_GB2312" w:cs="仿宋_GB2312"/>
                <w:color w:val="000000"/>
                <w:sz w:val="24"/>
              </w:rPr>
            </w:pPr>
          </w:p>
          <w:p w14:paraId="0D056742">
            <w:pPr>
              <w:autoSpaceDN w:val="0"/>
              <w:spacing w:line="320" w:lineRule="exact"/>
              <w:jc w:val="left"/>
              <w:textAlignment w:val="center"/>
              <w:rPr>
                <w:rFonts w:ascii="仿宋_GB2312" w:hAnsi="仿宋_GB2312" w:eastAsia="仿宋_GB2312" w:cs="仿宋_GB2312"/>
                <w:color w:val="000000"/>
                <w:sz w:val="24"/>
              </w:rPr>
            </w:pPr>
          </w:p>
          <w:p w14:paraId="18146EE5">
            <w:pPr>
              <w:autoSpaceDN w:val="0"/>
              <w:spacing w:line="320" w:lineRule="exact"/>
              <w:jc w:val="left"/>
              <w:textAlignment w:val="center"/>
              <w:rPr>
                <w:rFonts w:ascii="仿宋_GB2312" w:hAnsi="仿宋_GB2312" w:eastAsia="仿宋_GB2312" w:cs="仿宋_GB2312"/>
                <w:color w:val="000000"/>
                <w:sz w:val="24"/>
              </w:rPr>
            </w:pPr>
          </w:p>
          <w:p w14:paraId="2E3BC28D">
            <w:pPr>
              <w:autoSpaceDN w:val="0"/>
              <w:spacing w:line="320" w:lineRule="exact"/>
              <w:jc w:val="left"/>
              <w:textAlignment w:val="center"/>
              <w:rPr>
                <w:rFonts w:ascii="仿宋_GB2312" w:hAnsi="仿宋_GB2312" w:eastAsia="仿宋_GB2312" w:cs="仿宋_GB2312"/>
                <w:color w:val="000000"/>
                <w:sz w:val="24"/>
              </w:rPr>
            </w:pPr>
          </w:p>
          <w:p w14:paraId="1EC3C26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207C2570">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3963E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6"/>
            <w:vAlign w:val="center"/>
          </w:tcPr>
          <w:p w14:paraId="6B87794B">
            <w:pPr>
              <w:spacing w:line="320" w:lineRule="exact"/>
              <w:rPr>
                <w:rFonts w:eastAsia="仿宋_GB2312"/>
                <w:sz w:val="24"/>
              </w:rPr>
            </w:pPr>
            <w:r>
              <w:rPr>
                <w:rFonts w:hint="eastAsia" w:eastAsia="仿宋_GB2312"/>
                <w:sz w:val="24"/>
              </w:rPr>
              <w:t>财政部门归口业务科室意见：</w:t>
            </w:r>
          </w:p>
          <w:p w14:paraId="02A895D9">
            <w:pPr>
              <w:spacing w:line="320" w:lineRule="exact"/>
              <w:rPr>
                <w:rFonts w:eastAsia="仿宋_GB2312"/>
                <w:sz w:val="24"/>
              </w:rPr>
            </w:pPr>
          </w:p>
          <w:p w14:paraId="3ED6142C">
            <w:pPr>
              <w:spacing w:line="320" w:lineRule="exact"/>
              <w:rPr>
                <w:rFonts w:eastAsia="仿宋_GB2312"/>
                <w:sz w:val="24"/>
              </w:rPr>
            </w:pPr>
          </w:p>
          <w:p w14:paraId="36AA6CFF">
            <w:pPr>
              <w:spacing w:line="320" w:lineRule="exact"/>
              <w:rPr>
                <w:rFonts w:eastAsia="仿宋_GB2312"/>
                <w:sz w:val="24"/>
              </w:rPr>
            </w:pPr>
          </w:p>
          <w:p w14:paraId="715156C4">
            <w:pPr>
              <w:spacing w:line="320" w:lineRule="exact"/>
              <w:rPr>
                <w:rFonts w:eastAsia="仿宋_GB2312"/>
                <w:sz w:val="24"/>
              </w:rPr>
            </w:pPr>
          </w:p>
          <w:p w14:paraId="4A3F869A">
            <w:pPr>
              <w:spacing w:line="320" w:lineRule="exact"/>
              <w:rPr>
                <w:rFonts w:eastAsia="仿宋_GB2312"/>
                <w:sz w:val="24"/>
              </w:rPr>
            </w:pPr>
            <w:r>
              <w:rPr>
                <w:rFonts w:hint="eastAsia" w:eastAsia="仿宋_GB2312"/>
                <w:sz w:val="24"/>
              </w:rPr>
              <w:t xml:space="preserve">                                  财政部门归口业务股室负责人（签章）：</w:t>
            </w:r>
          </w:p>
          <w:p w14:paraId="609C5A39">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14:paraId="6874A991">
      <w:pPr>
        <w:rPr>
          <w:rFonts w:eastAsia="仿宋_GB2312" w:cs="仿宋_GB2312"/>
          <w:bCs/>
          <w:sz w:val="28"/>
          <w:szCs w:val="28"/>
        </w:rPr>
      </w:pPr>
      <w:r>
        <w:rPr>
          <w:rFonts w:hint="eastAsia" w:eastAsia="仿宋_GB2312" w:cs="仿宋_GB2312"/>
          <w:bCs/>
          <w:sz w:val="28"/>
          <w:szCs w:val="28"/>
        </w:rPr>
        <w:t>填报人（签名）：                          联系电话：</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14:paraId="0AAD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14:paraId="62AD0D60">
            <w:pPr>
              <w:jc w:val="center"/>
              <w:rPr>
                <w:rFonts w:eastAsia="仿宋_GB2312"/>
                <w:sz w:val="32"/>
                <w:szCs w:val="32"/>
              </w:rPr>
            </w:pPr>
            <w:r>
              <w:rPr>
                <w:rFonts w:hint="eastAsia" w:ascii="黑体" w:hAnsi="黑体" w:eastAsia="黑体" w:cs="黑体"/>
                <w:bCs/>
                <w:sz w:val="28"/>
                <w:szCs w:val="28"/>
              </w:rPr>
              <w:t>五、评价报告综述（文字部分）</w:t>
            </w:r>
          </w:p>
          <w:p w14:paraId="31A71C4C">
            <w:pPr>
              <w:spacing w:line="560" w:lineRule="exact"/>
              <w:ind w:firstLine="560" w:firstLineChars="200"/>
              <w:rPr>
                <w:rFonts w:ascii="黑体" w:hAnsi="黑体" w:eastAsia="黑体" w:cs="黑体"/>
                <w:bCs/>
                <w:sz w:val="28"/>
                <w:szCs w:val="28"/>
              </w:rPr>
            </w:pPr>
            <w:r>
              <w:rPr>
                <w:rFonts w:hint="eastAsia" w:ascii="仿宋_GB2312" w:hAnsi="仿宋_GB2312" w:eastAsia="仿宋_GB2312" w:cs="仿宋_GB2312"/>
                <w:bCs/>
                <w:sz w:val="28"/>
                <w:szCs w:val="28"/>
              </w:rPr>
              <w:t>根据《君山区财政局关于开展2021年度财政支出绩效自评工作的通知》（岳君财发〔2021〕10号）文件精神，为全面推进部门整体绩效目标的实现，提升财政资金的使用效率，强化预算支出的责任和效率，我局对2020年部门整体支出开展了绩效自评。现将具体情况报告如下：</w:t>
            </w:r>
          </w:p>
          <w:p w14:paraId="29E11555">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14:paraId="76E8EB4F">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14:paraId="1A3C18E7">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1、职能职责</w:t>
            </w:r>
          </w:p>
          <w:p w14:paraId="00E60B48">
            <w:pPr>
              <w:spacing w:line="560" w:lineRule="exact"/>
              <w:ind w:firstLine="560" w:firstLineChars="200"/>
              <w:rPr>
                <w:rFonts w:ascii="仿宋_GB2312" w:hAnsi="仿宋_GB2312" w:eastAsia="仿宋_GB2312" w:cs="仿宋_GB2312"/>
                <w:bCs/>
                <w:sz w:val="28"/>
                <w:szCs w:val="28"/>
              </w:rPr>
            </w:pPr>
            <w:r>
              <w:rPr>
                <w:rFonts w:ascii="Calibri" w:hAnsi="Calibri" w:eastAsia="仿宋_GB2312" w:cs="Calibri"/>
                <w:bCs/>
                <w:sz w:val="28"/>
                <w:szCs w:val="28"/>
              </w:rPr>
              <w:t>①</w:t>
            </w:r>
            <w:r>
              <w:rPr>
                <w:rFonts w:hint="eastAsia" w:ascii="仿宋_GB2312" w:hAnsi="仿宋_GB2312" w:eastAsia="仿宋_GB2312" w:cs="仿宋_GB2312"/>
                <w:bCs/>
                <w:sz w:val="28"/>
                <w:szCs w:val="28"/>
              </w:rPr>
              <w:t>贯彻执行党和国家关于退役军人思想政治、管理保障和安置优抚等工作政策法规，组织实施全区退役军人事务发展规划和政策；褒扬彰显退役军人为党、国家和人民牺牲奉献的精神风范和价值导向。</w:t>
            </w:r>
          </w:p>
          <w:p w14:paraId="50A67F4A">
            <w:pPr>
              <w:spacing w:line="560" w:lineRule="exact"/>
              <w:ind w:firstLine="560" w:firstLineChars="200"/>
              <w:rPr>
                <w:rFonts w:ascii="仿宋_GB2312" w:hAnsi="仿宋_GB2312" w:eastAsia="仿宋_GB2312" w:cs="仿宋_GB2312"/>
                <w:bCs/>
                <w:sz w:val="28"/>
                <w:szCs w:val="28"/>
              </w:rPr>
            </w:pPr>
            <w:r>
              <w:rPr>
                <w:rFonts w:ascii="Calibri" w:hAnsi="Calibri" w:eastAsia="仿宋_GB2312" w:cs="Calibri"/>
                <w:bCs/>
                <w:sz w:val="28"/>
                <w:szCs w:val="28"/>
              </w:rPr>
              <w:t>②</w:t>
            </w:r>
            <w:r>
              <w:rPr>
                <w:rFonts w:hint="eastAsia" w:ascii="仿宋_GB2312" w:hAnsi="仿宋_GB2312" w:eastAsia="仿宋_GB2312" w:cs="仿宋_GB2312"/>
                <w:bCs/>
                <w:sz w:val="28"/>
                <w:szCs w:val="28"/>
              </w:rPr>
              <w:t>负责全区军队转业干部、复员干部、离休退休干部、退役士兵和无军籍退休退职职工的移交安置工作和自主择业、就业退役军人服务管理工作。</w:t>
            </w:r>
          </w:p>
          <w:p w14:paraId="3BAB0EB9">
            <w:pPr>
              <w:spacing w:line="560" w:lineRule="exact"/>
              <w:ind w:firstLine="560" w:firstLineChars="200"/>
              <w:rPr>
                <w:rFonts w:ascii="仿宋_GB2312" w:hAnsi="仿宋_GB2312" w:eastAsia="仿宋_GB2312" w:cs="仿宋_GB2312"/>
                <w:bCs/>
                <w:sz w:val="28"/>
                <w:szCs w:val="28"/>
              </w:rPr>
            </w:pPr>
            <w:r>
              <w:rPr>
                <w:rFonts w:ascii="Calibri" w:hAnsi="Calibri" w:eastAsia="仿宋_GB2312" w:cs="Calibri"/>
                <w:bCs/>
                <w:sz w:val="28"/>
                <w:szCs w:val="28"/>
              </w:rPr>
              <w:t>③</w:t>
            </w:r>
            <w:r>
              <w:rPr>
                <w:rFonts w:hint="eastAsia" w:ascii="仿宋_GB2312" w:hAnsi="仿宋_GB2312" w:eastAsia="仿宋_GB2312" w:cs="仿宋_GB2312"/>
                <w:bCs/>
                <w:sz w:val="28"/>
                <w:szCs w:val="28"/>
              </w:rPr>
              <w:t>组织指导全区退役军人教育培训工作，协调扶持退役军人和随军随调家属就业创业。</w:t>
            </w:r>
          </w:p>
          <w:p w14:paraId="171D01F9">
            <w:pPr>
              <w:spacing w:line="560" w:lineRule="exact"/>
              <w:ind w:firstLine="560" w:firstLineChars="200"/>
              <w:rPr>
                <w:rFonts w:ascii="仿宋_GB2312" w:hAnsi="仿宋_GB2312" w:eastAsia="仿宋_GB2312" w:cs="仿宋_GB2312"/>
                <w:bCs/>
                <w:sz w:val="28"/>
                <w:szCs w:val="28"/>
              </w:rPr>
            </w:pPr>
            <w:r>
              <w:rPr>
                <w:rFonts w:hint="eastAsia" w:ascii="宋体" w:hAnsi="宋体" w:cs="宋体"/>
                <w:bCs/>
                <w:sz w:val="28"/>
                <w:szCs w:val="28"/>
              </w:rPr>
              <w:t>④</w:t>
            </w:r>
            <w:r>
              <w:rPr>
                <w:rFonts w:hint="eastAsia" w:ascii="仿宋_GB2312" w:hAnsi="仿宋_GB2312" w:eastAsia="仿宋_GB2312" w:cs="仿宋_GB2312"/>
                <w:bCs/>
                <w:sz w:val="28"/>
                <w:szCs w:val="28"/>
              </w:rPr>
              <w:t>贯彻落实国家、省、市关于退役军人的特殊保障政策，会同有关部门制定相关工作办法，并组织实施。</w:t>
            </w:r>
          </w:p>
          <w:p w14:paraId="7432ED25">
            <w:pPr>
              <w:spacing w:line="560" w:lineRule="exact"/>
              <w:ind w:firstLine="560" w:firstLineChars="200"/>
              <w:rPr>
                <w:rFonts w:ascii="仿宋_GB2312" w:hAnsi="仿宋_GB2312" w:eastAsia="仿宋_GB2312" w:cs="仿宋_GB2312"/>
                <w:bCs/>
                <w:sz w:val="28"/>
                <w:szCs w:val="28"/>
              </w:rPr>
            </w:pPr>
            <w:r>
              <w:rPr>
                <w:rFonts w:hint="eastAsia" w:ascii="宋体" w:hAnsi="宋体" w:cs="宋体"/>
                <w:bCs/>
                <w:sz w:val="28"/>
                <w:szCs w:val="28"/>
              </w:rPr>
              <w:t>⑤</w:t>
            </w:r>
            <w:r>
              <w:rPr>
                <w:rFonts w:hint="eastAsia" w:ascii="仿宋_GB2312" w:hAnsi="仿宋_GB2312" w:eastAsia="仿宋_GB2312" w:cs="仿宋_GB2312"/>
                <w:bCs/>
                <w:sz w:val="28"/>
                <w:szCs w:val="28"/>
              </w:rPr>
              <w:t>组织协调落实全区移交地方的离休退休军人、符合条件的其他退役军人和无军籍退休退职职工的住房保障工作，以及退役军人医疗保障、社会保障、社会保险等待遇保障工作。</w:t>
            </w:r>
          </w:p>
          <w:p w14:paraId="76A15F65">
            <w:pPr>
              <w:spacing w:line="560" w:lineRule="exact"/>
              <w:ind w:firstLine="560" w:firstLineChars="200"/>
              <w:rPr>
                <w:rFonts w:ascii="仿宋_GB2312" w:hAnsi="仿宋_GB2312" w:eastAsia="仿宋_GB2312" w:cs="仿宋_GB2312"/>
                <w:bCs/>
                <w:sz w:val="28"/>
                <w:szCs w:val="28"/>
              </w:rPr>
            </w:pPr>
            <w:r>
              <w:rPr>
                <w:rFonts w:hint="eastAsia" w:ascii="宋体" w:hAnsi="宋体" w:cs="宋体"/>
                <w:bCs/>
                <w:sz w:val="28"/>
                <w:szCs w:val="28"/>
              </w:rPr>
              <w:t>⑥</w:t>
            </w:r>
            <w:r>
              <w:rPr>
                <w:rFonts w:hint="eastAsia" w:ascii="仿宋_GB2312" w:hAnsi="仿宋_GB2312" w:eastAsia="仿宋_GB2312" w:cs="仿宋_GB2312"/>
                <w:bCs/>
                <w:sz w:val="28"/>
                <w:szCs w:val="28"/>
              </w:rPr>
              <w:t>组织指导全区伤病残退役军人服务管理和抚恤工作，贯彻落实有关退役军人医疗、疗养、养老等机构的规划政策并指导实施。承担全区不适宜继续服役的伤病残军人相关工作。组织指导全区军供服务保障工作。</w:t>
            </w:r>
          </w:p>
          <w:p w14:paraId="15237193">
            <w:pPr>
              <w:spacing w:line="560" w:lineRule="exact"/>
              <w:ind w:firstLine="560" w:firstLineChars="200"/>
              <w:rPr>
                <w:rFonts w:ascii="仿宋_GB2312" w:hAnsi="仿宋_GB2312" w:eastAsia="仿宋_GB2312" w:cs="仿宋_GB2312"/>
                <w:bCs/>
                <w:sz w:val="28"/>
                <w:szCs w:val="28"/>
              </w:rPr>
            </w:pPr>
            <w:r>
              <w:rPr>
                <w:rFonts w:hint="eastAsia" w:ascii="宋体" w:hAnsi="宋体" w:cs="宋体"/>
                <w:bCs/>
                <w:sz w:val="28"/>
                <w:szCs w:val="28"/>
              </w:rPr>
              <w:t>⑦</w:t>
            </w:r>
            <w:r>
              <w:rPr>
                <w:rFonts w:hint="eastAsia" w:ascii="仿宋_GB2312" w:hAnsi="仿宋_GB2312" w:eastAsia="仿宋_GB2312" w:cs="仿宋_GB2312"/>
                <w:bCs/>
                <w:sz w:val="28"/>
                <w:szCs w:val="28"/>
              </w:rPr>
              <w:t>组织和指导全区拥军优属工作。负责全区现役军人、退役军人、军队文职人员和军属优待、抚恤等工作；贯彻执行国家关于国民党抗战老兵等有关人员优待政策并指导实施。</w:t>
            </w:r>
          </w:p>
          <w:p w14:paraId="752685E6">
            <w:pPr>
              <w:spacing w:line="560" w:lineRule="exact"/>
              <w:ind w:firstLine="560" w:firstLineChars="200"/>
              <w:rPr>
                <w:rFonts w:ascii="仿宋_GB2312" w:hAnsi="仿宋_GB2312" w:eastAsia="仿宋_GB2312" w:cs="仿宋_GB2312"/>
                <w:bCs/>
                <w:sz w:val="28"/>
                <w:szCs w:val="28"/>
              </w:rPr>
            </w:pPr>
            <w:r>
              <w:rPr>
                <w:rFonts w:hint="eastAsia" w:ascii="宋体" w:hAnsi="宋体" w:cs="宋体"/>
                <w:bCs/>
                <w:sz w:val="28"/>
                <w:szCs w:val="28"/>
              </w:rPr>
              <w:t>⑧</w:t>
            </w:r>
            <w:r>
              <w:rPr>
                <w:rFonts w:hint="eastAsia" w:ascii="仿宋_GB2312" w:hAnsi="仿宋_GB2312" w:eastAsia="仿宋_GB2312" w:cs="仿宋_GB2312"/>
                <w:bCs/>
                <w:sz w:val="28"/>
                <w:szCs w:val="28"/>
              </w:rPr>
              <w:t>负责全区烈士及退役军人荣誉奖励、军人公墓管理维护、纪念活动等工作，依法承担英雄烈士保护相关工作，审核拟列入区以上重点保护单位的烈士纪念建筑物名录，总结表彰和宣扬退役军人、退役军人工作单位和个人先进典型事迹。</w:t>
            </w:r>
          </w:p>
          <w:p w14:paraId="2A7E0F21">
            <w:pPr>
              <w:spacing w:line="560" w:lineRule="exact"/>
              <w:ind w:firstLine="560" w:firstLineChars="200"/>
              <w:rPr>
                <w:rFonts w:ascii="仿宋_GB2312" w:hAnsi="仿宋_GB2312" w:eastAsia="仿宋_GB2312" w:cs="仿宋_GB2312"/>
                <w:bCs/>
                <w:sz w:val="28"/>
                <w:szCs w:val="28"/>
              </w:rPr>
            </w:pPr>
            <w:r>
              <w:rPr>
                <w:rFonts w:hint="eastAsia" w:ascii="微软雅黑" w:hAnsi="微软雅黑" w:eastAsia="微软雅黑" w:cs="微软雅黑"/>
                <w:bCs/>
                <w:sz w:val="28"/>
                <w:szCs w:val="28"/>
              </w:rPr>
              <w:t>⑨</w:t>
            </w:r>
            <w:r>
              <w:rPr>
                <w:rFonts w:hint="eastAsia" w:ascii="仿宋_GB2312" w:hAnsi="仿宋_GB2312" w:eastAsia="仿宋_GB2312" w:cs="仿宋_GB2312"/>
                <w:bCs/>
                <w:sz w:val="28"/>
                <w:szCs w:val="28"/>
              </w:rPr>
              <w:t>指导并监督检查退役军人相关法律法规和政策措施的落实；开展全区退役军人权益维护和有关人员的帮扶援助工作。</w:t>
            </w:r>
          </w:p>
          <w:p w14:paraId="34FCC185">
            <w:pPr>
              <w:spacing w:line="560" w:lineRule="exact"/>
              <w:ind w:firstLine="560" w:firstLineChars="200"/>
              <w:rPr>
                <w:rFonts w:ascii="仿宋_GB2312" w:hAnsi="仿宋_GB2312" w:eastAsia="仿宋_GB2312" w:cs="仿宋_GB2312"/>
                <w:bCs/>
                <w:sz w:val="28"/>
                <w:szCs w:val="28"/>
              </w:rPr>
            </w:pPr>
            <w:r>
              <w:rPr>
                <w:rFonts w:hint="eastAsia" w:ascii="微软雅黑" w:hAnsi="微软雅黑" w:eastAsia="微软雅黑" w:cs="微软雅黑"/>
                <w:bCs/>
                <w:sz w:val="28"/>
                <w:szCs w:val="28"/>
              </w:rPr>
              <w:t>⑩</w:t>
            </w:r>
            <w:r>
              <w:rPr>
                <w:rFonts w:hint="eastAsia" w:ascii="仿宋_GB2312" w:hAnsi="仿宋_GB2312" w:eastAsia="仿宋_GB2312" w:cs="仿宋_GB2312"/>
                <w:bCs/>
                <w:sz w:val="28"/>
                <w:szCs w:val="28"/>
              </w:rPr>
              <w:t>完成区委、区政府交办的其他任务。</w:t>
            </w:r>
          </w:p>
          <w:p w14:paraId="0063BEBA">
            <w:pPr>
              <w:widowControl/>
              <w:spacing w:line="480" w:lineRule="auto"/>
              <w:ind w:firstLine="640" w:firstLineChars="200"/>
              <w:rPr>
                <w:rFonts w:ascii="仿宋" w:hAnsi="仿宋" w:eastAsia="仿宋"/>
                <w:sz w:val="32"/>
                <w:szCs w:val="32"/>
              </w:rPr>
            </w:pPr>
            <w:r>
              <w:rPr>
                <w:rFonts w:hint="eastAsia" w:ascii="仿宋" w:hAnsi="仿宋" w:eastAsia="仿宋"/>
                <w:sz w:val="32"/>
                <w:szCs w:val="32"/>
              </w:rPr>
              <w:t>2、根据编委核定，我局内设科室4个：办公室、移交安置和就业创业股、拥军优抚和褒扬纪念股、政策法规和思想政治股。</w:t>
            </w:r>
          </w:p>
          <w:p w14:paraId="0DFCCBAA">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14:paraId="71A34065">
            <w:pPr>
              <w:spacing w:line="560" w:lineRule="exact"/>
              <w:ind w:firstLine="560" w:firstLineChars="200"/>
            </w:pPr>
            <w:r>
              <w:rPr>
                <w:rFonts w:hint="eastAsia" w:ascii="仿宋_GB2312" w:hAnsi="仿宋_GB2312" w:eastAsia="仿宋_GB2312" w:cs="仿宋_GB2312"/>
                <w:bCs/>
                <w:sz w:val="28"/>
                <w:szCs w:val="28"/>
              </w:rPr>
              <w:t>2020年本单位整体支出2167.29万元，其中基本支出304.19万元，占总支出的14.04%，基本支出中人员支出为147.94万元，公用支出156.24万元；项目支出1863.1万元，占总支出的85.96%。</w:t>
            </w:r>
          </w:p>
          <w:p w14:paraId="56F85415">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14:paraId="55406585">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14:paraId="24485DB3">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基本支出用于为保障机构正常运转、完成日常工作任务而发生的支出，包括人员经费和公用经费。2020年基本支出304.19万元，其中：工资福利支出135.59万元，占基本支出的44.57%；商品和服务支出134.62万元，占基本支出的44.26%；对个人和家庭的补助支出12.36万元，占基本支出的4.06%；资本性支出21.62万元，占基本支出的7.12%.</w:t>
            </w:r>
          </w:p>
          <w:p w14:paraId="37C7E9CB">
            <w:pPr>
              <w:spacing w:line="560" w:lineRule="exact"/>
              <w:ind w:firstLine="560" w:firstLineChars="200"/>
            </w:pPr>
            <w:r>
              <w:rPr>
                <w:rFonts w:hint="eastAsia" w:ascii="仿宋_GB2312" w:hAnsi="仿宋_GB2312" w:eastAsia="仿宋_GB2312" w:cs="仿宋_GB2312"/>
                <w:bCs/>
                <w:sz w:val="28"/>
                <w:szCs w:val="28"/>
              </w:rPr>
              <w:t>2020年三公经费支出2.74万元，财政下达控制数为5万元，完成财政下达控制数的54.8%，其中因公出国（境）费0万元，公务车购置及运行维护费0万元，公务接待费2.74万元，使用当年财政拨款支出2.74万元。</w:t>
            </w:r>
          </w:p>
          <w:p w14:paraId="76B47E64">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14:paraId="2AC396E8">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w:t>
            </w:r>
          </w:p>
          <w:p w14:paraId="29B2F664">
            <w:pPr>
              <w:spacing w:line="560" w:lineRule="exact"/>
              <w:ind w:firstLine="560" w:firstLineChars="200"/>
            </w:pPr>
            <w:r>
              <w:rPr>
                <w:rFonts w:hint="eastAsia" w:ascii="仿宋_GB2312" w:hAnsi="仿宋_GB2312" w:eastAsia="仿宋_GB2312" w:cs="仿宋_GB2312"/>
                <w:bCs/>
                <w:sz w:val="28"/>
                <w:szCs w:val="28"/>
              </w:rPr>
              <w:t>项目支出是在基本支出之外为完成其特定工作任务而发生的支出，主要用于解决官兵生活设施保障的公共安全、社会保障就业工作和优抚对象的卫生健康工作专项支出。</w:t>
            </w:r>
          </w:p>
          <w:p w14:paraId="3BFBB82F">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2021年我局专项资金共计</w:t>
            </w:r>
            <w:r>
              <w:rPr>
                <w:rFonts w:ascii="仿宋_GB2312" w:hAnsi="仿宋_GB2312" w:eastAsia="仿宋_GB2312" w:cs="仿宋_GB2312"/>
                <w:bCs/>
                <w:sz w:val="28"/>
                <w:szCs w:val="28"/>
              </w:rPr>
              <w:t>18</w:t>
            </w:r>
            <w:r>
              <w:rPr>
                <w:rFonts w:hint="eastAsia" w:ascii="仿宋_GB2312" w:hAnsi="仿宋_GB2312" w:eastAsia="仿宋_GB2312" w:cs="仿宋_GB2312"/>
                <w:bCs/>
                <w:sz w:val="28"/>
                <w:szCs w:val="28"/>
              </w:rPr>
              <w:t>74.33万元，其中：上年结余123.94万元，本年收入为1750.39万元，全部为本级财政安排，已全部到位共发生支出1863.10万元，结余11.23万元。</w:t>
            </w:r>
          </w:p>
          <w:p w14:paraId="6A7695FD">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w:t>
            </w:r>
          </w:p>
          <w:p w14:paraId="6D620F89">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本级财政安排专项资金</w:t>
            </w:r>
            <w:r>
              <w:rPr>
                <w:rFonts w:ascii="仿宋_GB2312" w:hAnsi="仿宋_GB2312" w:eastAsia="仿宋_GB2312" w:cs="仿宋_GB2312"/>
                <w:bCs/>
                <w:sz w:val="28"/>
                <w:szCs w:val="28"/>
              </w:rPr>
              <w:t>1874.33</w:t>
            </w:r>
            <w:r>
              <w:rPr>
                <w:rFonts w:hint="eastAsia" w:ascii="仿宋_GB2312" w:hAnsi="仿宋_GB2312" w:eastAsia="仿宋_GB2312" w:cs="仿宋_GB2312"/>
                <w:bCs/>
                <w:sz w:val="28"/>
                <w:szCs w:val="28"/>
              </w:rPr>
              <w:t>万元（含年初结余），实际支出1863.10万元，一是解决官兵生活设施保障经费项目25.00万元，二是社会保障和就业支出项目1820.40万元，三是卫生健康支出项目17.7万元。</w:t>
            </w:r>
          </w:p>
          <w:p w14:paraId="69B0EC8C">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w:t>
            </w:r>
          </w:p>
          <w:p w14:paraId="3FFAAD66">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局项目资金全部按财政国库集中支付制度要求使用和拨付，通过财政直接支付方式拨给抚恤对象。在拨付过程中严把监督审核关，建立健全内部审批制度，财务做好项目专帐，严格实行专款专用，保证资金及时足额用到项目中。</w:t>
            </w:r>
          </w:p>
          <w:p w14:paraId="19FDE35B">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14:paraId="1ED2DBEA">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14:paraId="0DB3B7CD">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局2020年民生资金的使用、对象的确定采取以乡镇、社区为主体负责组织实施，再经退役军人事务局审核确认后，在银行按月打卡发放，确保民生资金发放的安全和有效。其他有关退役军人项目建设采取以项目实施单位为主体，局监管的管理体制。</w:t>
            </w:r>
          </w:p>
          <w:p w14:paraId="72E218E3">
            <w:pPr>
              <w:tabs>
                <w:tab w:val="left" w:pos="4082"/>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14:paraId="5C595114">
            <w:pPr>
              <w:tabs>
                <w:tab w:val="left" w:pos="4082"/>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我局按照项目资金管理制度要求，对项目实施和资金使用分配方案坚持局党组集体决策。对我局项目资金的使用制订了工作方案，明确完成的具体时间，认真落实各项目实施进度。</w:t>
            </w:r>
          </w:p>
          <w:p w14:paraId="5647F7C3">
            <w:pPr>
              <w:tabs>
                <w:tab w:val="left" w:pos="5447"/>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r>
              <w:rPr>
                <w:rFonts w:ascii="黑体" w:hAnsi="黑体" w:eastAsia="黑体" w:cs="黑体"/>
                <w:bCs/>
                <w:sz w:val="28"/>
                <w:szCs w:val="28"/>
              </w:rPr>
              <w:tab/>
            </w:r>
          </w:p>
          <w:p w14:paraId="5B95C033">
            <w:pPr>
              <w:tabs>
                <w:tab w:val="left" w:pos="4082"/>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（一）部门整体支出定性目标及实施计划完成情况</w:t>
            </w:r>
          </w:p>
          <w:p w14:paraId="6E78838F">
            <w:pPr>
              <w:tabs>
                <w:tab w:val="left" w:pos="4082"/>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实现退役军人三级服务体系全覆盖。今年我局按照省市要求，着重打造全区的退役军人服务保障体系，按照“五有”、“四好”（即有机构、有编制、有人员、有经费、有保障，服务好、保障好、管理好、发挥好）建设要求，成立区镇村三级服务中心（站），根据《君山区退役军人事务工作业务指南》的内容，在人员不足的情况下，再一次进行分工，明确职责，完善了工作流程，制订了《君山区退役军人服务中心（站）服务规范》，为全区三级退役军人服务中心（站）提供了更具操作性、实用性的规范文本，实现了退役军人三级服务体系的全覆盖，打通了服务退役军人的“最后一公里”。</w:t>
            </w:r>
          </w:p>
          <w:p w14:paraId="23227130">
            <w:pPr>
              <w:tabs>
                <w:tab w:val="left" w:pos="4082"/>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严格落实各项优抚安置政策。我局严格按照上级相关工作要求，加强组织领导，明确工作职责，加大双拥工作宣传力度，积极推进军民融合式发展。自今年以来，按照上级文件要求，对本辖区重病、遭遇意外伤害导致生活比较困难的退役军人家庭共发放帮扶解困资金15.4万元；对优抚对象进行摸底调查，开展年检年审工作，为全区1168名优抚对象共发放抚恤优待资金880万元，发放价格临时补贴资金481635元。</w:t>
            </w:r>
          </w:p>
          <w:p w14:paraId="0B98AD72">
            <w:pPr>
              <w:tabs>
                <w:tab w:val="left" w:pos="4082"/>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积极开展拥军优抚活动。春节期间开展走访慰问活动，对全区4800多位退役军人和军烈属等送去春节《慰问信》、对联、年历。春节期间，区委、区政府四大家领导对驻区部队及全区特困伤残军人、老复员军人、抗日老战士、三属、参战涉核等优抚对象进行了走访慰问活动，给这些革命功臣送去了慰问金、慰问信，充分体现党和政府对优抚对象的关怀。对8名企业军转干和9名1953年12月31日参军后企业退休士兵分别发放了153944.4元和206280元共四季度困难补助，同时在春节前夕对企业军转干部上门慰问,每人送去春节慰问金1000元，门诊和体检费800元，并对重病军转干部周泽良特困救助2000元，报销住院军转干部刘孟雄住院费自付50%部分共2084元。在今年的11月份，我局联合市康复医院在我区各乡镇、街道办开展了为期八天的“医疗巡诊 送医送药下乡”活动，让退役军人感受到党和政府的温暖。</w:t>
            </w:r>
          </w:p>
          <w:p w14:paraId="08ACCB47">
            <w:pPr>
              <w:tabs>
                <w:tab w:val="left" w:pos="4082"/>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4.继续推进部分退役士兵社保接续工作。截止今年七月，部分退役士兵社保接续工作初审符合社保补缴条件资料200份，已核查57份,其中困难人员确认1人。君山区社保接续工作按照湖南省社保专班要求的时间节点稳步推进，工作方向已由资料认定转为核算缴费。下一步在继续核算缴费工作时,进行单位缴费能力认定和单位缴费主体的确定。         </w:t>
            </w:r>
          </w:p>
          <w:p w14:paraId="0F9ACE3E">
            <w:pPr>
              <w:tabs>
                <w:tab w:val="left" w:pos="4082"/>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（二）根据部门整体支出绩效评价指标体系，本单位2021年度评价得分98分。</w:t>
            </w:r>
          </w:p>
          <w:p w14:paraId="09362CD1">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14:paraId="04451777">
            <w:pPr>
              <w:tabs>
                <w:tab w:val="left" w:pos="4082"/>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对退役军人服务保障工作认识不高。基层普遍存在重视不够，过问不多，投入不足的现状，存在“上头热、中间温、下头冷”的表现以及将退役军人工作等同于涉军信访维稳工作和把退役军人工作视同是退役军人部门的工作的现象，对于本该由镇村或部门所应承担的工作职责向退役军人部门推诿；</w:t>
            </w:r>
          </w:p>
          <w:p w14:paraId="225B6F7E">
            <w:pPr>
              <w:tabs>
                <w:tab w:val="left" w:pos="4082"/>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三级退役军人服务体系规范化建设离上级要求差距较大。对标对表退役军人服务中心（站）“五有”“全覆盖”建设的要求，我区还存在着部分镇（街道）服务场所建设场地偏小、标准不高、人员配备及经费保障不到位等情况，普遍存在服务意识、服务手段、服务水平、服务能力不强等诸多问题；</w:t>
            </w:r>
          </w:p>
          <w:p w14:paraId="16A89AAD">
            <w:pPr>
              <w:tabs>
                <w:tab w:val="left" w:pos="4082"/>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3.镇（办事处）退役军人服务站编制挤占严重，人员配备不到位现象突出。全区定编人数为16人，实际从事退役军人服务工作的在岗人员只有7人，导致正常工作难以落实，服务保障等工作难以推动。</w:t>
            </w:r>
          </w:p>
          <w:p w14:paraId="2DBD9D85">
            <w:pPr>
              <w:tabs>
                <w:tab w:val="left" w:pos="4082"/>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全区退役军人事业预算内经费紧张。机构改革后，新成立的区退役军人事务局承担全区优抚对象待遇发放、优抚医疗政策保障、优抚事业单位建设运行、义务兵家庭优待金发放、退役士兵一次性经济补助发放、企业军转干部地方补助补差、涉军信访维稳、退役军人及其他优抚对象解困等诸多工作，而这些工作的资金保障都要求地方政府财政予以配套。过去，民政部门因有解困、救助、慈善、福彩等诸多资金可以填补，但新组建的退役军人部门只有单纯的优抚资金下达，按照过去的预算模式，保障缺口较大，困难较多。</w:t>
            </w:r>
          </w:p>
          <w:p w14:paraId="32812B8F">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14:paraId="77758A6F">
            <w:pPr>
              <w:tabs>
                <w:tab w:val="left" w:pos="4082"/>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一是加强思想政治工作。强化党员教育管理，加强宣传舆论引导，营造尊崇军人的浓厚氛围。</w:t>
            </w:r>
          </w:p>
          <w:p w14:paraId="1036EE1D">
            <w:pPr>
              <w:tabs>
                <w:tab w:val="left" w:pos="4082"/>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二是认真做好移交安置工作。不断完善安置办法，提高安置质量，加强安置保障。</w:t>
            </w:r>
          </w:p>
          <w:p w14:paraId="7899FC8F">
            <w:pPr>
              <w:tabs>
                <w:tab w:val="left" w:pos="4082"/>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三是大力促进就业创业。加强教育培训，做好就业服务，积极扶持创业，持续开展“双带双促”活动。</w:t>
            </w:r>
          </w:p>
          <w:p w14:paraId="5E83103B">
            <w:pPr>
              <w:tabs>
                <w:tab w:val="left" w:pos="4082"/>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四是不断提升拥军优抚水平。落实优待目录清单，提升服务水平，精准做好“两参”人员核查认定工作，深入开展“双拥”活动，常态化信息采集和光荣牌悬挂工作。</w:t>
            </w:r>
          </w:p>
          <w:p w14:paraId="494E60D9">
            <w:pPr>
              <w:tabs>
                <w:tab w:val="left" w:pos="4082"/>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五是加大英烈褒扬工作力度。弘扬英烈精神，认真做好清明祭扫、烈士公祭日纪念活动。</w:t>
            </w:r>
          </w:p>
          <w:p w14:paraId="52ADC059">
            <w:pPr>
              <w:tabs>
                <w:tab w:val="left" w:pos="4082"/>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六是加大权益维护力度。抓好退役军人信访稳定工作，加强困难帮扶，开展常态走访慰问，重要节日走访慰问长效机制，对重点对象开展经常性走访慰问。</w:t>
            </w:r>
          </w:p>
          <w:p w14:paraId="3A822652">
            <w:pPr>
              <w:tabs>
                <w:tab w:val="left" w:pos="4082"/>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七是夯实基层基础。加强机构建设，健全工作机制，推进信息化建设，建设信息一体化平台。</w:t>
            </w:r>
          </w:p>
          <w:p w14:paraId="49A7A064">
            <w:pPr>
              <w:tabs>
                <w:tab w:val="left" w:pos="4082"/>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八是加强队伍建设。扎实开展“不忘初心、牢记使命”主题教育，提升政策水平，加强理论与业务知识学习，促进队伍融合，牢固树立“一盘棋”的思想。</w:t>
            </w:r>
          </w:p>
          <w:p w14:paraId="183A4F06">
            <w:pPr>
              <w:rPr>
                <w:rFonts w:eastAsia="楷体_GB2312"/>
                <w:bCs/>
                <w:sz w:val="28"/>
                <w:szCs w:val="28"/>
              </w:rPr>
            </w:pPr>
          </w:p>
        </w:tc>
      </w:tr>
    </w:tbl>
    <w:p w14:paraId="072AD57D">
      <w:pPr>
        <w:rPr>
          <w:rFonts w:ascii="黑体" w:hAnsi="黑体" w:eastAsia="黑体"/>
          <w:sz w:val="32"/>
          <w:szCs w:val="32"/>
        </w:rPr>
      </w:pPr>
      <w:r>
        <w:rPr>
          <w:rFonts w:eastAsia="楷体_GB2312"/>
          <w:bCs/>
          <w:sz w:val="28"/>
          <w:szCs w:val="28"/>
        </w:rPr>
        <w:br w:type="page"/>
      </w:r>
    </w:p>
    <w:p w14:paraId="46B28962">
      <w:pPr>
        <w:spacing w:beforeLines="100" w:afterLines="100"/>
        <w:jc w:val="center"/>
        <w:rPr>
          <w:rFonts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459F6EA4">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30CA097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14:paraId="65E5369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0E86694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15E627B3">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191E59E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6E84655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79FFCFBC">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14:paraId="6E6D3693">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4C855DF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14:paraId="43687B6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70B475E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14:paraId="59DD694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14CE8A4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14:paraId="4BF2123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0725ABE5">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069C3739">
            <w:pPr>
              <w:widowControl/>
              <w:spacing w:line="240" w:lineRule="exact"/>
              <w:jc w:val="left"/>
              <w:rPr>
                <w:rFonts w:ascii="仿宋_GB2312" w:hAnsi="宋体" w:eastAsia="仿宋_GB2312" w:cs="宋体"/>
                <w:color w:val="000000"/>
                <w:kern w:val="0"/>
                <w:sz w:val="18"/>
                <w:szCs w:val="18"/>
              </w:rPr>
            </w:pPr>
          </w:p>
        </w:tc>
      </w:tr>
      <w:tr w14:paraId="15DB0C29">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11E2483">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5AFCBEBF">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07397C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14:paraId="09A9B12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14:paraId="64AF9C6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3DC9C3F4">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7B6D751C">
            <w:pPr>
              <w:widowControl/>
              <w:spacing w:line="240" w:lineRule="exact"/>
              <w:jc w:val="left"/>
              <w:rPr>
                <w:rFonts w:ascii="仿宋_GB2312" w:hAnsi="宋体" w:eastAsia="仿宋_GB2312" w:cs="宋体"/>
                <w:color w:val="000000"/>
                <w:kern w:val="0"/>
                <w:sz w:val="18"/>
                <w:szCs w:val="18"/>
              </w:rPr>
            </w:pPr>
          </w:p>
        </w:tc>
      </w:tr>
      <w:tr w14:paraId="354C390F">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788D7B6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6C135156">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24ED4B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14:paraId="4BCC576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14:paraId="72067F6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136ED2C9">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14:paraId="4821CF77">
            <w:pPr>
              <w:widowControl/>
              <w:spacing w:line="240" w:lineRule="exact"/>
              <w:jc w:val="left"/>
              <w:rPr>
                <w:rFonts w:ascii="仿宋_GB2312" w:hAnsi="宋体" w:eastAsia="仿宋_GB2312" w:cs="宋体"/>
                <w:color w:val="000000"/>
                <w:kern w:val="0"/>
                <w:sz w:val="18"/>
                <w:szCs w:val="18"/>
              </w:rPr>
            </w:pPr>
          </w:p>
        </w:tc>
      </w:tr>
      <w:tr w14:paraId="57BD807B">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14:paraId="0ED0AB5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14:paraId="7ECD2EB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5C82C76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14:paraId="75738D3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14:paraId="1C84FDF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7FF6A1E0">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14:paraId="7062D172">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2020年部门决算与年初预算存在差异</w:t>
            </w:r>
          </w:p>
        </w:tc>
      </w:tr>
      <w:tr w14:paraId="45D25829">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09855DCB">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001618C">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7E1596E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14:paraId="5A66E5F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14:paraId="124538F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B39532E">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6D999E9B">
            <w:pPr>
              <w:widowControl/>
              <w:spacing w:line="240" w:lineRule="exact"/>
              <w:jc w:val="center"/>
              <w:rPr>
                <w:rFonts w:ascii="仿宋_GB2312" w:hAnsi="宋体" w:eastAsia="仿宋_GB2312" w:cs="宋体"/>
                <w:color w:val="000000"/>
                <w:kern w:val="0"/>
                <w:sz w:val="18"/>
                <w:szCs w:val="18"/>
              </w:rPr>
            </w:pPr>
          </w:p>
        </w:tc>
      </w:tr>
      <w:tr w14:paraId="3FE748C1">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FCA8257">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1FF19DE2">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3E8A95C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14:paraId="5171F3B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14:paraId="060D1BD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6BCC0A8A">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2998F645">
            <w:pPr>
              <w:widowControl/>
              <w:spacing w:line="240" w:lineRule="exact"/>
              <w:jc w:val="center"/>
              <w:rPr>
                <w:rFonts w:ascii="仿宋_GB2312" w:hAnsi="宋体" w:eastAsia="仿宋_GB2312" w:cs="宋体"/>
                <w:color w:val="000000"/>
                <w:kern w:val="0"/>
                <w:sz w:val="18"/>
                <w:szCs w:val="18"/>
              </w:rPr>
            </w:pPr>
          </w:p>
        </w:tc>
      </w:tr>
      <w:tr w14:paraId="6154609E">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672FEF5D">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764482A7">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1DED091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14:paraId="387DE10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14:paraId="65BEAEC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14:paraId="058EB50E">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14:paraId="3DEB5D61">
            <w:pPr>
              <w:widowControl/>
              <w:spacing w:line="240" w:lineRule="exact"/>
              <w:jc w:val="center"/>
              <w:rPr>
                <w:rFonts w:ascii="仿宋_GB2312" w:hAnsi="宋体" w:eastAsia="仿宋_GB2312" w:cs="宋体"/>
                <w:color w:val="000000"/>
                <w:kern w:val="0"/>
                <w:sz w:val="18"/>
                <w:szCs w:val="18"/>
              </w:rPr>
            </w:pPr>
          </w:p>
        </w:tc>
      </w:tr>
      <w:tr w14:paraId="00884E07">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19BB026B">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14:paraId="39F27CA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14:paraId="7AA1418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14:paraId="18B2BC8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14:paraId="09CD9B7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424D08D0">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3ED390C5">
            <w:pPr>
              <w:widowControl/>
              <w:spacing w:line="240" w:lineRule="exact"/>
              <w:jc w:val="center"/>
              <w:rPr>
                <w:rFonts w:ascii="仿宋_GB2312" w:hAnsi="宋体" w:eastAsia="仿宋_GB2312" w:cs="宋体"/>
                <w:color w:val="000000"/>
                <w:kern w:val="0"/>
                <w:sz w:val="18"/>
                <w:szCs w:val="18"/>
              </w:rPr>
            </w:pPr>
          </w:p>
        </w:tc>
      </w:tr>
      <w:tr w14:paraId="069B15E1">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58650033">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18F97CE">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2E49775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14:paraId="717C2323">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14:paraId="4A1B03B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14:paraId="480144F3">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14:paraId="31BCB1E0">
            <w:pPr>
              <w:widowControl/>
              <w:spacing w:line="240" w:lineRule="exact"/>
              <w:jc w:val="center"/>
              <w:rPr>
                <w:rFonts w:ascii="仿宋_GB2312" w:hAnsi="宋体" w:eastAsia="仿宋_GB2312" w:cs="宋体"/>
                <w:color w:val="000000"/>
                <w:kern w:val="0"/>
                <w:sz w:val="18"/>
                <w:szCs w:val="18"/>
              </w:rPr>
            </w:pPr>
          </w:p>
        </w:tc>
      </w:tr>
      <w:tr w14:paraId="1D1BFB99">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FA9AA53">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6840E727">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6577DB4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14:paraId="21DE6DE9">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14:paraId="54099FC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2C7039A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729774FC">
            <w:pPr>
              <w:widowControl/>
              <w:spacing w:line="240" w:lineRule="exact"/>
              <w:jc w:val="center"/>
              <w:rPr>
                <w:rFonts w:ascii="仿宋_GB2312" w:hAnsi="宋体" w:eastAsia="仿宋_GB2312" w:cs="宋体"/>
                <w:kern w:val="0"/>
                <w:sz w:val="18"/>
                <w:szCs w:val="18"/>
              </w:rPr>
            </w:pPr>
          </w:p>
        </w:tc>
      </w:tr>
      <w:tr w14:paraId="04D8E995">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2338DBD1">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7B615B1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14:paraId="13D7654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14:paraId="2FB787A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14:paraId="1A85F04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14:paraId="338CEA6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030230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3A696E50">
            <w:pPr>
              <w:widowControl/>
              <w:spacing w:line="240" w:lineRule="exact"/>
              <w:jc w:val="center"/>
              <w:rPr>
                <w:rFonts w:ascii="仿宋_GB2312" w:hAnsi="宋体" w:eastAsia="仿宋_GB2312" w:cs="宋体"/>
                <w:kern w:val="0"/>
                <w:sz w:val="18"/>
                <w:szCs w:val="18"/>
              </w:rPr>
            </w:pPr>
          </w:p>
        </w:tc>
      </w:tr>
      <w:tr w14:paraId="7069E2EB">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A1E7A0B">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2139562B">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3013907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14:paraId="21C40454">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14:paraId="0A14725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7961894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68E23BA5">
            <w:pPr>
              <w:widowControl/>
              <w:spacing w:line="240" w:lineRule="exact"/>
              <w:jc w:val="center"/>
              <w:rPr>
                <w:rFonts w:ascii="仿宋_GB2312" w:hAnsi="宋体" w:eastAsia="仿宋_GB2312" w:cs="宋体"/>
                <w:kern w:val="0"/>
                <w:sz w:val="18"/>
                <w:szCs w:val="18"/>
              </w:rPr>
            </w:pPr>
          </w:p>
        </w:tc>
      </w:tr>
      <w:tr w14:paraId="74DF7670">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20C129C">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14:paraId="2564EEF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14:paraId="6C2C8A0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14:paraId="732674C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14:paraId="0665785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815808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0928B2C2">
            <w:pPr>
              <w:widowControl/>
              <w:spacing w:line="240" w:lineRule="exact"/>
              <w:jc w:val="center"/>
              <w:rPr>
                <w:rFonts w:ascii="仿宋_GB2312" w:hAnsi="宋体" w:eastAsia="仿宋_GB2312" w:cs="宋体"/>
                <w:kern w:val="0"/>
                <w:sz w:val="18"/>
                <w:szCs w:val="18"/>
              </w:rPr>
            </w:pPr>
          </w:p>
        </w:tc>
      </w:tr>
    </w:tbl>
    <w:p w14:paraId="62718EBF"/>
    <w:p w14:paraId="310D0A57">
      <w:pPr>
        <w:pStyle w:val="2"/>
        <w:ind w:left="420"/>
      </w:pPr>
    </w:p>
    <w:p w14:paraId="00BB30F2">
      <w:pPr>
        <w:spacing w:beforeLines="100" w:afterLines="100"/>
        <w:jc w:val="center"/>
      </w:pPr>
      <w:r>
        <w:rPr>
          <w:rFonts w:hint="eastAsia" w:ascii="方正小标宋简体" w:eastAsia="方正小标宋简体"/>
          <w:sz w:val="36"/>
          <w:szCs w:val="36"/>
        </w:rPr>
        <w:t>部门整体支出绩效评价评分表（续）</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14:paraId="4804B1A7">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14:paraId="6A73FC61">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19243A68">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14:paraId="1727BECC">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14:paraId="703F50A7">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14:paraId="31992C4A">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14:paraId="52A21E4E">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62E6C1F4">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14:paraId="7A005586">
        <w:tblPrEx>
          <w:tblCellMar>
            <w:top w:w="0" w:type="dxa"/>
            <w:left w:w="108" w:type="dxa"/>
            <w:bottom w:w="0" w:type="dxa"/>
            <w:right w:w="108" w:type="dxa"/>
          </w:tblCellMar>
        </w:tblPrEx>
        <w:trPr>
          <w:trHeight w:val="1926"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6990D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14:paraId="57C4012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23140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14:paraId="013F228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14:paraId="3E18FFB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14:paraId="6B9F5A2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14:paraId="056F17E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14:paraId="69623BC3">
            <w:pPr>
              <w:widowControl/>
              <w:spacing w:line="240" w:lineRule="exact"/>
              <w:jc w:val="center"/>
              <w:rPr>
                <w:rFonts w:ascii="仿宋_GB2312" w:hAnsi="宋体" w:eastAsia="仿宋_GB2312" w:cs="宋体"/>
                <w:kern w:val="0"/>
                <w:sz w:val="18"/>
                <w:szCs w:val="18"/>
              </w:rPr>
            </w:pPr>
          </w:p>
        </w:tc>
      </w:tr>
      <w:tr w14:paraId="74BCA59C">
        <w:tblPrEx>
          <w:tblCellMar>
            <w:top w:w="0" w:type="dxa"/>
            <w:left w:w="108" w:type="dxa"/>
            <w:bottom w:w="0" w:type="dxa"/>
            <w:right w:w="108" w:type="dxa"/>
          </w:tblCellMar>
        </w:tblPrEx>
        <w:trPr>
          <w:trHeight w:val="68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482CDABC">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4AE5449B">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CADBAD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14:paraId="76D26C18">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14:paraId="7237D2B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14:paraId="668FFB54">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14:paraId="3F4667A8">
            <w:pPr>
              <w:widowControl/>
              <w:spacing w:line="240" w:lineRule="exact"/>
              <w:jc w:val="center"/>
              <w:rPr>
                <w:rFonts w:ascii="仿宋_GB2312" w:hAnsi="宋体" w:eastAsia="仿宋_GB2312" w:cs="宋体"/>
                <w:kern w:val="0"/>
                <w:sz w:val="18"/>
                <w:szCs w:val="18"/>
              </w:rPr>
            </w:pPr>
          </w:p>
        </w:tc>
      </w:tr>
      <w:tr w14:paraId="74E83A88">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6CA3079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500EE82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14:paraId="12AA96DE">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3BE4B04A">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14:paraId="794733A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091D3A1C">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1AD68EC0">
            <w:pPr>
              <w:widowControl/>
              <w:spacing w:line="240" w:lineRule="exact"/>
              <w:jc w:val="center"/>
              <w:rPr>
                <w:rFonts w:ascii="仿宋_GB2312" w:hAnsi="宋体" w:eastAsia="仿宋_GB2312" w:cs="宋体"/>
                <w:kern w:val="0"/>
                <w:sz w:val="18"/>
                <w:szCs w:val="18"/>
              </w:rPr>
            </w:pPr>
          </w:p>
        </w:tc>
      </w:tr>
      <w:tr w14:paraId="4067D413">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24B17B3">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2F7EEA28">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05127A1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1B3A7D00">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3682CCB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14:paraId="32BAA3A5">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14:paraId="7BE5775A">
            <w:pPr>
              <w:widowControl/>
              <w:spacing w:line="240" w:lineRule="exact"/>
              <w:jc w:val="center"/>
              <w:rPr>
                <w:rFonts w:ascii="仿宋_GB2312" w:hAnsi="宋体" w:eastAsia="仿宋_GB2312" w:cs="宋体"/>
                <w:kern w:val="0"/>
                <w:sz w:val="18"/>
                <w:szCs w:val="18"/>
              </w:rPr>
            </w:pPr>
          </w:p>
        </w:tc>
      </w:tr>
      <w:tr w14:paraId="16372BD6">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D0E25C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254FEED0">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5DDC07F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04379454">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224EEBA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14:paraId="49B6A44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65CB563D">
            <w:pPr>
              <w:widowControl/>
              <w:spacing w:line="240" w:lineRule="exact"/>
              <w:jc w:val="center"/>
              <w:rPr>
                <w:rFonts w:ascii="仿宋_GB2312" w:hAnsi="宋体" w:eastAsia="仿宋_GB2312" w:cs="宋体"/>
                <w:kern w:val="0"/>
                <w:sz w:val="18"/>
                <w:szCs w:val="18"/>
              </w:rPr>
            </w:pPr>
          </w:p>
        </w:tc>
      </w:tr>
      <w:tr w14:paraId="1CB62CEB">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F4E9D8B">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753F4105">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6FA687F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00DAF302">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7A305E3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48C64C3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7209C739">
            <w:pPr>
              <w:widowControl/>
              <w:spacing w:line="240" w:lineRule="exact"/>
              <w:jc w:val="center"/>
              <w:rPr>
                <w:rFonts w:ascii="仿宋_GB2312" w:hAnsi="宋体" w:eastAsia="仿宋_GB2312" w:cs="宋体"/>
                <w:kern w:val="0"/>
                <w:sz w:val="18"/>
                <w:szCs w:val="18"/>
              </w:rPr>
            </w:pPr>
          </w:p>
        </w:tc>
      </w:tr>
      <w:tr w14:paraId="3126633D">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3A1F9D36">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1300BF34">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39E8D4A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5C2C5693">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2B7A28C0">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14:paraId="11BA104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14:paraId="64019CD0">
            <w:pPr>
              <w:widowControl/>
              <w:spacing w:line="240" w:lineRule="exact"/>
              <w:jc w:val="center"/>
              <w:rPr>
                <w:rFonts w:ascii="仿宋_GB2312" w:hAnsi="宋体" w:eastAsia="仿宋_GB2312" w:cs="宋体"/>
                <w:kern w:val="0"/>
                <w:sz w:val="18"/>
                <w:szCs w:val="18"/>
              </w:rPr>
            </w:pPr>
          </w:p>
        </w:tc>
      </w:tr>
      <w:tr w14:paraId="6CD7C25A">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79ECA6B4">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2E10A209">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0F63203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1AA9C045">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14:paraId="62FE4FDB">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14:paraId="4AA3951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14:paraId="789576DC">
            <w:pPr>
              <w:widowControl/>
              <w:spacing w:line="240" w:lineRule="exact"/>
              <w:jc w:val="center"/>
              <w:rPr>
                <w:rFonts w:ascii="仿宋_GB2312" w:hAnsi="宋体" w:eastAsia="仿宋_GB2312" w:cs="宋体"/>
                <w:kern w:val="0"/>
                <w:sz w:val="18"/>
                <w:szCs w:val="18"/>
              </w:rPr>
            </w:pPr>
          </w:p>
        </w:tc>
      </w:tr>
      <w:tr w14:paraId="46E735F4">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14:paraId="3AF9CB42">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14:paraId="5ED92516">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14:paraId="7351E8D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14:paraId="74EBE031">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14:paraId="4A6E1BBE">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14:paraId="0B975CA7">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14:paraId="575DDEA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129A9560">
            <w:pPr>
              <w:widowControl/>
              <w:spacing w:line="240" w:lineRule="exact"/>
              <w:jc w:val="center"/>
              <w:rPr>
                <w:rFonts w:ascii="仿宋_GB2312" w:hAnsi="宋体" w:eastAsia="仿宋_GB2312" w:cs="宋体"/>
                <w:kern w:val="0"/>
                <w:sz w:val="18"/>
                <w:szCs w:val="18"/>
              </w:rPr>
            </w:pPr>
          </w:p>
        </w:tc>
      </w:tr>
      <w:tr w14:paraId="5C9E1ABC">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45FAC6AE">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36A1757E">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21F5F43F">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1F625418">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2364CD6B">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647100B1">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14:paraId="649C98CF">
            <w:pPr>
              <w:widowControl/>
              <w:spacing w:line="240" w:lineRule="exact"/>
              <w:jc w:val="center"/>
              <w:rPr>
                <w:rFonts w:ascii="仿宋_GB2312" w:hAnsi="宋体" w:eastAsia="仿宋_GB2312" w:cs="宋体"/>
                <w:kern w:val="0"/>
                <w:sz w:val="18"/>
                <w:szCs w:val="18"/>
              </w:rPr>
            </w:pPr>
          </w:p>
        </w:tc>
      </w:tr>
      <w:tr w14:paraId="284F85CA">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14:paraId="6807D1C1">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14:paraId="520B5552">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14:paraId="15F8655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14:paraId="2B895148">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14:paraId="74FFCACE">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14:paraId="08ABA758">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14:paraId="06E239EE">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没有生态考核目标</w:t>
            </w:r>
          </w:p>
        </w:tc>
      </w:tr>
      <w:tr w14:paraId="0D6E57FF">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14:paraId="31C466E9">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14:paraId="439A1F28">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14:paraId="00E71029">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14:paraId="17E02A97">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14:paraId="4CC9B532">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14:paraId="5DA0D8FB">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14:paraId="44D43830">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14:paraId="0832E4D3">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14:paraId="3D8B7F5A">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14:paraId="0B35C938">
            <w:pPr>
              <w:widowControl/>
              <w:spacing w:line="240" w:lineRule="exact"/>
              <w:jc w:val="center"/>
              <w:rPr>
                <w:rFonts w:ascii="仿宋_GB2312" w:hAnsi="宋体" w:eastAsia="仿宋_GB2312" w:cs="宋体"/>
                <w:kern w:val="0"/>
                <w:sz w:val="18"/>
                <w:szCs w:val="18"/>
              </w:rPr>
            </w:pPr>
          </w:p>
        </w:tc>
      </w:tr>
      <w:tr w14:paraId="1672EE75">
        <w:tblPrEx>
          <w:tblCellMar>
            <w:top w:w="0" w:type="dxa"/>
            <w:left w:w="108" w:type="dxa"/>
            <w:bottom w:w="0" w:type="dxa"/>
            <w:right w:w="108" w:type="dxa"/>
          </w:tblCellMar>
        </w:tblPrEx>
        <w:trPr>
          <w:trHeight w:val="560" w:hRule="atLeast"/>
          <w:jc w:val="center"/>
        </w:trPr>
        <w:tc>
          <w:tcPr>
            <w:tcW w:w="976" w:type="dxa"/>
            <w:tcBorders>
              <w:top w:val="nil"/>
              <w:left w:val="single" w:color="auto" w:sz="4" w:space="0"/>
              <w:bottom w:val="single" w:color="auto" w:sz="4" w:space="0"/>
              <w:right w:val="single" w:color="auto" w:sz="4" w:space="0"/>
            </w:tcBorders>
            <w:vAlign w:val="center"/>
          </w:tcPr>
          <w:p w14:paraId="20D9C7A4">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14:paraId="03CAAD90">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14:paraId="2D0BE72D">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14:paraId="7A0F7DF6">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14:paraId="3F9834BB">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14:paraId="1C0CE450">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0" w:type="dxa"/>
            <w:tcBorders>
              <w:top w:val="nil"/>
              <w:left w:val="nil"/>
              <w:bottom w:val="single" w:color="auto" w:sz="4" w:space="0"/>
              <w:right w:val="single" w:color="auto" w:sz="4" w:space="0"/>
            </w:tcBorders>
            <w:vAlign w:val="center"/>
          </w:tcPr>
          <w:p w14:paraId="0B9D9F55">
            <w:pPr>
              <w:widowControl/>
              <w:spacing w:line="240" w:lineRule="exact"/>
              <w:jc w:val="center"/>
              <w:rPr>
                <w:rFonts w:ascii="仿宋_GB2312" w:hAnsi="宋体" w:eastAsia="仿宋_GB2312" w:cs="宋体"/>
                <w:b/>
                <w:bCs/>
                <w:kern w:val="0"/>
                <w:sz w:val="18"/>
                <w:szCs w:val="18"/>
              </w:rPr>
            </w:pPr>
          </w:p>
        </w:tc>
      </w:tr>
    </w:tbl>
    <w:p w14:paraId="79A4FA06">
      <w:pPr>
        <w:spacing w:beforeLines="50"/>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C55B6">
    <w:pPr>
      <w:framePr w:w="1448" w:wrap="around" w:vAnchor="text" w:hAnchor="margin" w:xAlign="outside" w:y="7"/>
      <w:rPr>
        <w:sz w:val="24"/>
      </w:rPr>
    </w:pPr>
    <w:r>
      <w:rPr>
        <w:sz w:val="24"/>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4DEB2F26">
                <w:pPr>
                  <w:pStyle w:val="5"/>
                  <w:rPr>
                    <w:rStyle w:val="9"/>
                  </w:rPr>
                </w:pPr>
                <w:r>
                  <w:rPr>
                    <w:rStyle w:val="9"/>
                    <w:rFonts w:hint="eastAsia"/>
                  </w:rPr>
                  <w:t xml:space="preserve">— </w:t>
                </w:r>
                <w:r>
                  <w:fldChar w:fldCharType="begin"/>
                </w:r>
                <w:r>
                  <w:rPr>
                    <w:rStyle w:val="9"/>
                  </w:rPr>
                  <w:instrText xml:space="preserve">PAGE  </w:instrText>
                </w:r>
                <w:r>
                  <w:fldChar w:fldCharType="separate"/>
                </w:r>
                <w:r>
                  <w:rPr>
                    <w:rStyle w:val="9"/>
                  </w:rPr>
                  <w:t>1</w:t>
                </w:r>
                <w:r>
                  <w:fldChar w:fldCharType="end"/>
                </w:r>
                <w:r>
                  <w:rPr>
                    <w:rStyle w:val="9"/>
                    <w:rFonts w:hint="eastAsia"/>
                  </w:rPr>
                  <w:t xml:space="preserve"> —</w:t>
                </w:r>
              </w:p>
            </w:txbxContent>
          </v:textbox>
        </v:shape>
      </w:pict>
    </w:r>
  </w:p>
  <w:p w14:paraId="4BA34CC7">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8B386">
    <w:pPr>
      <w:framePr w:wrap="around" w:vAnchor="text" w:hAnchor="margin" w:xAlign="outside" w:y="1"/>
    </w:pPr>
    <w:r>
      <w:fldChar w:fldCharType="begin"/>
    </w:r>
    <w:r>
      <w:instrText xml:space="preserve">PAGE  </w:instrText>
    </w:r>
    <w:r>
      <w:fldChar w:fldCharType="separate"/>
    </w:r>
    <w:r>
      <w:t>- 15 -</w:t>
    </w:r>
    <w:r>
      <w:fldChar w:fldCharType="end"/>
    </w:r>
  </w:p>
  <w:p w14:paraId="5B8358B6">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28C68">
    <w:pPr>
      <w:ind w:right="360" w:firstLine="360"/>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7955F63D">
                <w:pPr>
                  <w:pStyle w:val="5"/>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15</w:t>
                </w:r>
                <w:r>
                  <w:rPr>
                    <w:sz w:val="24"/>
                    <w:szCs w:val="24"/>
                  </w:rPr>
                  <w:fldChar w:fldCharType="end"/>
                </w:r>
                <w:r>
                  <w:rPr>
                    <w:rStyle w:val="9"/>
                    <w:rFonts w:hint="eastAsia"/>
                    <w:sz w:val="24"/>
                    <w:szCs w:val="24"/>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C3A0D">
    <w:pPr>
      <w:framePr w:wrap="around" w:vAnchor="text" w:hAnchor="margin" w:xAlign="outside" w:y="1"/>
    </w:pPr>
    <w:r>
      <w:fldChar w:fldCharType="begin"/>
    </w:r>
    <w:r>
      <w:instrText xml:space="preserve">PAGE  </w:instrText>
    </w:r>
    <w:r>
      <w:fldChar w:fldCharType="end"/>
    </w:r>
  </w:p>
  <w:p w14:paraId="64DBEB78">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1E28EB"/>
    <w:multiLevelType w:val="multilevel"/>
    <w:tmpl w:val="421E28E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5A6F26"/>
    <w:rsid w:val="000071A4"/>
    <w:rsid w:val="00060837"/>
    <w:rsid w:val="000E1954"/>
    <w:rsid w:val="00144BC9"/>
    <w:rsid w:val="0015158A"/>
    <w:rsid w:val="001A2C0E"/>
    <w:rsid w:val="001B2691"/>
    <w:rsid w:val="001E6489"/>
    <w:rsid w:val="001F44CC"/>
    <w:rsid w:val="0024293F"/>
    <w:rsid w:val="002829DF"/>
    <w:rsid w:val="002B3D54"/>
    <w:rsid w:val="002B4A3C"/>
    <w:rsid w:val="002E092F"/>
    <w:rsid w:val="00392405"/>
    <w:rsid w:val="003B6A65"/>
    <w:rsid w:val="003D483E"/>
    <w:rsid w:val="003E6612"/>
    <w:rsid w:val="00486E0F"/>
    <w:rsid w:val="004D7FAA"/>
    <w:rsid w:val="004E56A7"/>
    <w:rsid w:val="005239E8"/>
    <w:rsid w:val="0056111D"/>
    <w:rsid w:val="00592D8F"/>
    <w:rsid w:val="0065007C"/>
    <w:rsid w:val="00667572"/>
    <w:rsid w:val="00690AAD"/>
    <w:rsid w:val="0074339E"/>
    <w:rsid w:val="00752C07"/>
    <w:rsid w:val="00827C6B"/>
    <w:rsid w:val="008307D9"/>
    <w:rsid w:val="008568A2"/>
    <w:rsid w:val="00880E10"/>
    <w:rsid w:val="00881D62"/>
    <w:rsid w:val="00894304"/>
    <w:rsid w:val="00976C77"/>
    <w:rsid w:val="009A5933"/>
    <w:rsid w:val="009A783F"/>
    <w:rsid w:val="00AA07A7"/>
    <w:rsid w:val="00B21241"/>
    <w:rsid w:val="00B52BE7"/>
    <w:rsid w:val="00C4357C"/>
    <w:rsid w:val="00CE59D5"/>
    <w:rsid w:val="00D34AED"/>
    <w:rsid w:val="00E65F7D"/>
    <w:rsid w:val="00E661BA"/>
    <w:rsid w:val="00F17918"/>
    <w:rsid w:val="00F23FAD"/>
    <w:rsid w:val="00F35559"/>
    <w:rsid w:val="00F90AC1"/>
    <w:rsid w:val="00F94890"/>
    <w:rsid w:val="00FA7188"/>
    <w:rsid w:val="021F7ACC"/>
    <w:rsid w:val="05000B50"/>
    <w:rsid w:val="055A6F26"/>
    <w:rsid w:val="09950D4D"/>
    <w:rsid w:val="0A507703"/>
    <w:rsid w:val="0AEB2E3D"/>
    <w:rsid w:val="0DB17DCE"/>
    <w:rsid w:val="0E326497"/>
    <w:rsid w:val="0F3C19DC"/>
    <w:rsid w:val="134907CC"/>
    <w:rsid w:val="140D5FCB"/>
    <w:rsid w:val="178B0DF9"/>
    <w:rsid w:val="186F38D5"/>
    <w:rsid w:val="1A6F2DB8"/>
    <w:rsid w:val="1E0B52D7"/>
    <w:rsid w:val="1E4E1466"/>
    <w:rsid w:val="1ECE3EBD"/>
    <w:rsid w:val="1F290E1C"/>
    <w:rsid w:val="20482FD4"/>
    <w:rsid w:val="20C3078F"/>
    <w:rsid w:val="23752929"/>
    <w:rsid w:val="23931307"/>
    <w:rsid w:val="251613A3"/>
    <w:rsid w:val="28FC074F"/>
    <w:rsid w:val="2A1C5295"/>
    <w:rsid w:val="2A425560"/>
    <w:rsid w:val="2A66629F"/>
    <w:rsid w:val="2B185F17"/>
    <w:rsid w:val="2C1535F6"/>
    <w:rsid w:val="2D5B5EBD"/>
    <w:rsid w:val="2D69692C"/>
    <w:rsid w:val="2EE67DDF"/>
    <w:rsid w:val="2F6C19A9"/>
    <w:rsid w:val="31C64031"/>
    <w:rsid w:val="3331598E"/>
    <w:rsid w:val="37035463"/>
    <w:rsid w:val="387A506E"/>
    <w:rsid w:val="391D6E5E"/>
    <w:rsid w:val="39C4528F"/>
    <w:rsid w:val="3A3A1314"/>
    <w:rsid w:val="3B7E060B"/>
    <w:rsid w:val="3BBB1F39"/>
    <w:rsid w:val="3C091E95"/>
    <w:rsid w:val="3C0C5663"/>
    <w:rsid w:val="3F114B68"/>
    <w:rsid w:val="41095FEC"/>
    <w:rsid w:val="42082596"/>
    <w:rsid w:val="426B5C52"/>
    <w:rsid w:val="44766D22"/>
    <w:rsid w:val="45414B88"/>
    <w:rsid w:val="46602C0D"/>
    <w:rsid w:val="468733B3"/>
    <w:rsid w:val="484E0177"/>
    <w:rsid w:val="4AA9566D"/>
    <w:rsid w:val="4BA9288D"/>
    <w:rsid w:val="4C31466A"/>
    <w:rsid w:val="4C4E2AC3"/>
    <w:rsid w:val="4FC33CBA"/>
    <w:rsid w:val="50476111"/>
    <w:rsid w:val="50EE4B2F"/>
    <w:rsid w:val="56233027"/>
    <w:rsid w:val="59DF3449"/>
    <w:rsid w:val="5A517C7B"/>
    <w:rsid w:val="5A981377"/>
    <w:rsid w:val="5CAC64A4"/>
    <w:rsid w:val="5D1C5D8E"/>
    <w:rsid w:val="5E010849"/>
    <w:rsid w:val="60C4778C"/>
    <w:rsid w:val="60EA4316"/>
    <w:rsid w:val="615E093E"/>
    <w:rsid w:val="65236B49"/>
    <w:rsid w:val="65AA43C0"/>
    <w:rsid w:val="66161E47"/>
    <w:rsid w:val="68116BFE"/>
    <w:rsid w:val="68CE326F"/>
    <w:rsid w:val="6B2A6AB7"/>
    <w:rsid w:val="6C4761D2"/>
    <w:rsid w:val="6D535020"/>
    <w:rsid w:val="6E147600"/>
    <w:rsid w:val="70320DB2"/>
    <w:rsid w:val="703379A9"/>
    <w:rsid w:val="70B962BB"/>
    <w:rsid w:val="71E279DE"/>
    <w:rsid w:val="76BD5E40"/>
    <w:rsid w:val="789B6814"/>
    <w:rsid w:val="78B97743"/>
    <w:rsid w:val="78CF2A94"/>
    <w:rsid w:val="78EE0E45"/>
    <w:rsid w:val="78F7052D"/>
    <w:rsid w:val="796A69FF"/>
    <w:rsid w:val="7E627FB6"/>
    <w:rsid w:val="7F4240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left="0" w:firstLine="420" w:firstLineChars="200"/>
    </w:pPr>
    <w:rPr>
      <w:rFonts w:ascii="Calibri" w:hAnsi="Calibri"/>
    </w:rPr>
  </w:style>
  <w:style w:type="paragraph" w:styleId="3">
    <w:name w:val="Body Text Indent"/>
    <w:basedOn w:val="1"/>
    <w:unhideWhenUsed/>
    <w:qFormat/>
    <w:uiPriority w:val="99"/>
    <w:pPr>
      <w:spacing w:after="120"/>
      <w:ind w:left="420" w:leftChars="200"/>
    </w:pPr>
  </w:style>
  <w:style w:type="paragraph" w:styleId="4">
    <w:name w:val="Body Text Indent 2"/>
    <w:basedOn w:val="1"/>
    <w:qFormat/>
    <w:uiPriority w:val="0"/>
    <w:pPr>
      <w:ind w:firstLine="588" w:firstLineChars="200"/>
    </w:pPr>
    <w:rPr>
      <w:rFonts w:ascii="仿宋_GB2312" w:hAnsi="Calibri" w:eastAsia="仿宋_GB2312"/>
      <w:sz w:val="32"/>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qFormat/>
    <w:uiPriority w:val="0"/>
  </w:style>
  <w:style w:type="character" w:customStyle="1" w:styleId="10">
    <w:name w:val="标题 3 Char Char"/>
    <w:qFormat/>
    <w:uiPriority w:val="0"/>
    <w:rPr>
      <w:rFonts w:eastAsia="楷体_GB2312"/>
      <w:b/>
      <w:kern w:val="2"/>
      <w:sz w:val="32"/>
      <w:szCs w:val="24"/>
      <w:lang w:val="en-US" w:eastAsia="zh-CN" w:bidi="ar-SA"/>
    </w:rPr>
  </w:style>
  <w:style w:type="paragraph" w:styleId="11">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YYBD</Company>
  <Pages>15</Pages>
  <Words>6722</Words>
  <Characters>7206</Characters>
  <Lines>66</Lines>
  <Paragraphs>18</Paragraphs>
  <TotalTime>208</TotalTime>
  <ScaleCrop>false</ScaleCrop>
  <LinksUpToDate>false</LinksUpToDate>
  <CharactersWithSpaces>7596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2018-05-23T02:39:00Z</dcterms:created>
  <dc:creator>Administrator</dc:creator>
  <cp:lastModifiedBy>叶宏欢</cp:lastModifiedBy>
  <cp:lastPrinted>2021-07-23T03:45:00Z</cp:lastPrinted>
  <dcterms:modified xsi:type="dcterms:W3CDTF">2025-12-10T05:53:52Z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2E7EA6F75D4640FC948AC0E2E458B9D5</vt:lpwstr>
  </property>
  <property fmtid="{D5CDD505-2E9C-101B-9397-08002B2CF9AE}" pid="4" name="KSOTemplateDocerSaveRecord">
    <vt:lpwstr>eyJoZGlkIjoiNmFhNTIwY2JhYmJhYmFmMDMwZjE4YTRjYzM4MDkwMTQiLCJ1c2VySWQiOiIxNDgxMDAwNDg1In0=</vt:lpwstr>
  </property>
</Properties>
</file>